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4E2434F6" w:rsidR="00C267C6" w:rsidRPr="00470D8F" w:rsidRDefault="00E26FAB" w:rsidP="005947FA">
      <w:pPr>
        <w:rPr>
          <w:rFonts w:ascii="Arial" w:hAnsi="Arial" w:cs="Arial"/>
          <w:b/>
          <w:sz w:val="24"/>
          <w:szCs w:val="24"/>
        </w:rPr>
      </w:pPr>
      <w:r w:rsidRPr="00470D8F">
        <w:rPr>
          <w:rFonts w:ascii="Arial" w:hAnsi="Arial" w:cs="Arial"/>
          <w:b/>
          <w:sz w:val="24"/>
          <w:szCs w:val="24"/>
        </w:rPr>
        <w:t xml:space="preserve">The policy below is the current Branston &amp; Mere Parish Council Equality and Diversity Policy </w:t>
      </w:r>
      <w:r w:rsidR="00067E61" w:rsidRPr="00470D8F">
        <w:rPr>
          <w:rFonts w:ascii="Arial" w:hAnsi="Arial" w:cs="Arial"/>
          <w:b/>
          <w:sz w:val="24"/>
          <w:szCs w:val="24"/>
        </w:rPr>
        <w:t xml:space="preserve">which is in line with the NALC Model document and </w:t>
      </w:r>
      <w:proofErr w:type="gramStart"/>
      <w:r w:rsidR="00067E61" w:rsidRPr="00470D8F">
        <w:rPr>
          <w:rFonts w:ascii="Arial" w:hAnsi="Arial" w:cs="Arial"/>
          <w:b/>
          <w:sz w:val="24"/>
          <w:szCs w:val="24"/>
        </w:rPr>
        <w:t>takes into account</w:t>
      </w:r>
      <w:proofErr w:type="gramEnd"/>
      <w:r w:rsidR="00067E61" w:rsidRPr="00470D8F">
        <w:rPr>
          <w:rFonts w:ascii="Arial" w:hAnsi="Arial" w:cs="Arial"/>
          <w:b/>
          <w:sz w:val="24"/>
          <w:szCs w:val="24"/>
        </w:rPr>
        <w:t xml:space="preserve"> the Equality Act 2010</w:t>
      </w:r>
      <w:r w:rsidR="00470D8F" w:rsidRPr="00470D8F">
        <w:rPr>
          <w:rFonts w:ascii="Arial" w:hAnsi="Arial" w:cs="Arial"/>
          <w:b/>
          <w:sz w:val="24"/>
          <w:szCs w:val="24"/>
        </w:rPr>
        <w:t>.</w:t>
      </w: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C4E9A50" w14:textId="6EDFA73F" w:rsidR="00202E2D" w:rsidRPr="002E1042" w:rsidRDefault="00367BC3" w:rsidP="00202E2D">
      <w:pPr>
        <w:rPr>
          <w:rFonts w:ascii="Arial" w:hAnsi="Arial" w:cs="Arial"/>
          <w:b/>
          <w:sz w:val="24"/>
          <w:szCs w:val="24"/>
        </w:rPr>
      </w:pPr>
      <w:r w:rsidRPr="002E1042">
        <w:rPr>
          <w:rFonts w:ascii="Arial" w:hAnsi="Arial" w:cs="Arial"/>
          <w:b/>
          <w:sz w:val="24"/>
          <w:szCs w:val="24"/>
        </w:rPr>
        <w:t>BRANSTON &amp; MERE PARISH COUNCIL</w:t>
      </w:r>
      <w:r w:rsidR="005F5FB8" w:rsidRPr="002E1042">
        <w:rPr>
          <w:rFonts w:ascii="Arial" w:hAnsi="Arial" w:cs="Arial"/>
          <w:b/>
          <w:sz w:val="24"/>
          <w:szCs w:val="24"/>
        </w:rPr>
        <w:t xml:space="preserve"> </w:t>
      </w:r>
      <w:r w:rsidR="00CF71B2" w:rsidRPr="002E1042">
        <w:rPr>
          <w:rFonts w:ascii="Arial" w:hAnsi="Arial" w:cs="Arial"/>
          <w:b/>
          <w:sz w:val="24"/>
          <w:szCs w:val="24"/>
        </w:rPr>
        <w:t>EQUALITY AND DIVERSITY</w:t>
      </w:r>
      <w:r w:rsidR="00CD367E" w:rsidRPr="002E1042">
        <w:rPr>
          <w:rFonts w:ascii="Arial" w:hAnsi="Arial" w:cs="Arial"/>
          <w:b/>
          <w:sz w:val="24"/>
          <w:szCs w:val="24"/>
        </w:rPr>
        <w:t xml:space="preserve"> POLICY</w:t>
      </w:r>
    </w:p>
    <w:p w14:paraId="27852E35" w14:textId="77777777" w:rsidR="00AC43E4" w:rsidRPr="002E1042" w:rsidRDefault="00AC43E4" w:rsidP="00202E2D">
      <w:pPr>
        <w:rPr>
          <w:rFonts w:ascii="Arial" w:hAnsi="Arial" w:cs="Arial"/>
          <w:b/>
          <w:sz w:val="24"/>
          <w:szCs w:val="24"/>
        </w:rPr>
      </w:pPr>
    </w:p>
    <w:p w14:paraId="3E613FF9" w14:textId="1FB7E087" w:rsidR="00077DE1" w:rsidRPr="002E1042" w:rsidRDefault="00200675" w:rsidP="009E68C5">
      <w:pPr>
        <w:rPr>
          <w:rFonts w:ascii="Arial" w:hAnsi="Arial" w:cs="Arial"/>
          <w:sz w:val="24"/>
          <w:szCs w:val="24"/>
        </w:rPr>
      </w:pPr>
      <w:r w:rsidRPr="002E1042">
        <w:rPr>
          <w:rFonts w:ascii="Arial" w:hAnsi="Arial" w:cs="Arial"/>
          <w:sz w:val="24"/>
          <w:szCs w:val="24"/>
        </w:rPr>
        <w:t>Our commitment</w:t>
      </w:r>
      <w:r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4920B7" w:rsidRPr="002E1042">
        <w:rPr>
          <w:rFonts w:ascii="Arial" w:hAnsi="Arial" w:cs="Arial"/>
          <w:sz w:val="24"/>
          <w:szCs w:val="24"/>
        </w:rPr>
        <w:t>2</w:t>
      </w:r>
    </w:p>
    <w:p w14:paraId="368D4138" w14:textId="24ED0AAB" w:rsidR="00077DE1" w:rsidRPr="002E1042" w:rsidRDefault="00200675" w:rsidP="009E68C5">
      <w:pPr>
        <w:rPr>
          <w:rFonts w:ascii="Arial" w:hAnsi="Arial" w:cs="Arial"/>
          <w:sz w:val="24"/>
          <w:szCs w:val="24"/>
        </w:rPr>
      </w:pPr>
      <w:r w:rsidRPr="002E1042">
        <w:rPr>
          <w:rFonts w:ascii="Arial" w:hAnsi="Arial" w:cs="Arial"/>
          <w:sz w:val="24"/>
          <w:szCs w:val="24"/>
        </w:rPr>
        <w:t>The law</w:t>
      </w:r>
      <w:r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AC43E4" w:rsidRPr="002E1042">
        <w:rPr>
          <w:rFonts w:ascii="Arial" w:hAnsi="Arial" w:cs="Arial"/>
          <w:sz w:val="24"/>
          <w:szCs w:val="24"/>
        </w:rPr>
        <w:tab/>
      </w:r>
      <w:r w:rsidR="00CD367E" w:rsidRPr="002E1042">
        <w:rPr>
          <w:rFonts w:ascii="Arial" w:hAnsi="Arial" w:cs="Arial"/>
          <w:sz w:val="24"/>
          <w:szCs w:val="24"/>
        </w:rPr>
        <w:tab/>
      </w:r>
      <w:r w:rsidR="004920B7" w:rsidRPr="002E1042">
        <w:rPr>
          <w:rFonts w:ascii="Arial" w:hAnsi="Arial" w:cs="Arial"/>
          <w:sz w:val="24"/>
          <w:szCs w:val="24"/>
        </w:rPr>
        <w:t>2</w:t>
      </w:r>
    </w:p>
    <w:p w14:paraId="7B72FCF4" w14:textId="1CE67FFF" w:rsidR="00CD367E" w:rsidRPr="002E1042" w:rsidRDefault="00200675" w:rsidP="009E68C5">
      <w:pPr>
        <w:rPr>
          <w:rFonts w:ascii="Arial" w:hAnsi="Arial" w:cs="Arial"/>
          <w:sz w:val="24"/>
          <w:szCs w:val="24"/>
        </w:rPr>
      </w:pPr>
      <w:r w:rsidRPr="002E1042">
        <w:rPr>
          <w:rFonts w:ascii="Arial" w:hAnsi="Arial" w:cs="Arial"/>
          <w:sz w:val="24"/>
          <w:szCs w:val="24"/>
        </w:rPr>
        <w:t>Types of unlawful discrimination</w:t>
      </w:r>
      <w:r w:rsidR="00CD367E" w:rsidRPr="002E1042">
        <w:rPr>
          <w:rFonts w:ascii="Arial" w:hAnsi="Arial" w:cs="Arial"/>
          <w:sz w:val="24"/>
          <w:szCs w:val="24"/>
        </w:rPr>
        <w:tab/>
      </w:r>
      <w:r w:rsidR="00CD367E"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AC43E4" w:rsidRPr="002E1042">
        <w:rPr>
          <w:rFonts w:ascii="Arial" w:hAnsi="Arial" w:cs="Arial"/>
          <w:sz w:val="24"/>
          <w:szCs w:val="24"/>
        </w:rPr>
        <w:tab/>
      </w:r>
      <w:r w:rsidR="004920B7" w:rsidRPr="002E1042">
        <w:rPr>
          <w:rFonts w:ascii="Arial" w:hAnsi="Arial" w:cs="Arial"/>
          <w:sz w:val="24"/>
          <w:szCs w:val="24"/>
        </w:rPr>
        <w:t>2</w:t>
      </w:r>
    </w:p>
    <w:p w14:paraId="093DEACE" w14:textId="754AA69D" w:rsidR="00077DE1" w:rsidRPr="002E1042" w:rsidRDefault="00200675" w:rsidP="009E68C5">
      <w:pPr>
        <w:rPr>
          <w:rFonts w:ascii="Arial" w:hAnsi="Arial" w:cs="Arial"/>
          <w:sz w:val="24"/>
          <w:szCs w:val="24"/>
        </w:rPr>
      </w:pPr>
      <w:r w:rsidRPr="002E1042">
        <w:rPr>
          <w:rFonts w:ascii="Arial" w:hAnsi="Arial" w:cs="Arial"/>
          <w:sz w:val="24"/>
          <w:szCs w:val="24"/>
        </w:rPr>
        <w:t>Equal opportunities in employment</w:t>
      </w:r>
      <w:r w:rsidR="00CD367E"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34EC7">
        <w:rPr>
          <w:rFonts w:ascii="Arial" w:hAnsi="Arial" w:cs="Arial"/>
          <w:sz w:val="24"/>
          <w:szCs w:val="24"/>
        </w:rPr>
        <w:tab/>
      </w:r>
      <w:r w:rsidR="004920B7" w:rsidRPr="002E1042">
        <w:rPr>
          <w:rFonts w:ascii="Arial" w:hAnsi="Arial" w:cs="Arial"/>
          <w:sz w:val="24"/>
          <w:szCs w:val="24"/>
        </w:rPr>
        <w:t>3</w:t>
      </w:r>
    </w:p>
    <w:p w14:paraId="008A00A2" w14:textId="464C3576" w:rsidR="00077DE1" w:rsidRPr="002E1042" w:rsidRDefault="00200675" w:rsidP="009E68C5">
      <w:pPr>
        <w:rPr>
          <w:rFonts w:ascii="Arial" w:hAnsi="Arial" w:cs="Arial"/>
          <w:sz w:val="24"/>
          <w:szCs w:val="24"/>
        </w:rPr>
      </w:pPr>
      <w:r w:rsidRPr="002E1042">
        <w:rPr>
          <w:rFonts w:ascii="Arial" w:hAnsi="Arial" w:cs="Arial"/>
          <w:sz w:val="24"/>
          <w:szCs w:val="24"/>
        </w:rPr>
        <w:t>Dignity at work</w:t>
      </w:r>
      <w:r w:rsidR="00CD367E"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CD367E"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AC43E4" w:rsidRPr="002E1042">
        <w:rPr>
          <w:rFonts w:ascii="Arial" w:hAnsi="Arial" w:cs="Arial"/>
          <w:sz w:val="24"/>
          <w:szCs w:val="24"/>
        </w:rPr>
        <w:tab/>
      </w:r>
      <w:r w:rsidR="004920B7" w:rsidRPr="002E1042">
        <w:rPr>
          <w:rFonts w:ascii="Arial" w:hAnsi="Arial" w:cs="Arial"/>
          <w:sz w:val="24"/>
          <w:szCs w:val="24"/>
        </w:rPr>
        <w:t>4</w:t>
      </w:r>
    </w:p>
    <w:p w14:paraId="42B37D8D" w14:textId="29370343" w:rsidR="00077DE1" w:rsidRPr="002E1042" w:rsidRDefault="00200675" w:rsidP="009E68C5">
      <w:pPr>
        <w:rPr>
          <w:rFonts w:ascii="Arial" w:hAnsi="Arial" w:cs="Arial"/>
          <w:sz w:val="24"/>
          <w:szCs w:val="24"/>
        </w:rPr>
      </w:pPr>
      <w:r w:rsidRPr="002E1042">
        <w:rPr>
          <w:rFonts w:ascii="Arial" w:hAnsi="Arial" w:cs="Arial"/>
          <w:sz w:val="24"/>
          <w:szCs w:val="24"/>
        </w:rPr>
        <w:t>People not employed by the council</w:t>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AC43E4" w:rsidRPr="002E1042">
        <w:rPr>
          <w:rFonts w:ascii="Arial" w:hAnsi="Arial" w:cs="Arial"/>
          <w:sz w:val="24"/>
          <w:szCs w:val="24"/>
        </w:rPr>
        <w:tab/>
      </w:r>
      <w:r w:rsidR="00CD367E" w:rsidRPr="002E1042">
        <w:rPr>
          <w:rFonts w:ascii="Arial" w:hAnsi="Arial" w:cs="Arial"/>
          <w:sz w:val="24"/>
          <w:szCs w:val="24"/>
        </w:rPr>
        <w:tab/>
      </w:r>
      <w:r w:rsidR="00034EC7">
        <w:rPr>
          <w:rFonts w:ascii="Arial" w:hAnsi="Arial" w:cs="Arial"/>
          <w:sz w:val="24"/>
          <w:szCs w:val="24"/>
        </w:rPr>
        <w:tab/>
      </w:r>
      <w:r w:rsidR="004920B7" w:rsidRPr="002E1042">
        <w:rPr>
          <w:rFonts w:ascii="Arial" w:hAnsi="Arial" w:cs="Arial"/>
          <w:sz w:val="24"/>
          <w:szCs w:val="24"/>
        </w:rPr>
        <w:t>4</w:t>
      </w:r>
    </w:p>
    <w:p w14:paraId="2755662F" w14:textId="47F3B910" w:rsidR="00077DE1" w:rsidRPr="002E1042" w:rsidRDefault="00200675" w:rsidP="009E68C5">
      <w:pPr>
        <w:rPr>
          <w:rFonts w:ascii="Arial" w:hAnsi="Arial" w:cs="Arial"/>
          <w:sz w:val="24"/>
          <w:szCs w:val="24"/>
        </w:rPr>
      </w:pPr>
      <w:r w:rsidRPr="002E1042">
        <w:rPr>
          <w:rFonts w:ascii="Arial" w:hAnsi="Arial" w:cs="Arial"/>
          <w:sz w:val="24"/>
          <w:szCs w:val="24"/>
        </w:rPr>
        <w:t>Training</w:t>
      </w:r>
      <w:r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Pr="002E1042">
        <w:rPr>
          <w:rFonts w:ascii="Arial" w:hAnsi="Arial" w:cs="Arial"/>
          <w:sz w:val="24"/>
          <w:szCs w:val="24"/>
        </w:rPr>
        <w:tab/>
      </w:r>
      <w:r w:rsidR="004920B7" w:rsidRPr="002E1042">
        <w:rPr>
          <w:rFonts w:ascii="Arial" w:hAnsi="Arial" w:cs="Arial"/>
          <w:sz w:val="24"/>
          <w:szCs w:val="24"/>
        </w:rPr>
        <w:t>4</w:t>
      </w:r>
    </w:p>
    <w:p w14:paraId="6B3B6818" w14:textId="77BFE01A" w:rsidR="00077DE1" w:rsidRPr="002E1042" w:rsidRDefault="00200675" w:rsidP="009E68C5">
      <w:pPr>
        <w:rPr>
          <w:rFonts w:ascii="Arial" w:hAnsi="Arial" w:cs="Arial"/>
          <w:sz w:val="24"/>
          <w:szCs w:val="24"/>
        </w:rPr>
      </w:pPr>
      <w:r w:rsidRPr="002E1042">
        <w:rPr>
          <w:rFonts w:ascii="Arial" w:hAnsi="Arial" w:cs="Arial"/>
          <w:sz w:val="24"/>
          <w:szCs w:val="24"/>
        </w:rPr>
        <w:t>Your responsibilities</w:t>
      </w:r>
      <w:r w:rsidR="00CD367E"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077DE1" w:rsidRPr="002E1042">
        <w:rPr>
          <w:rFonts w:ascii="Arial" w:hAnsi="Arial" w:cs="Arial"/>
          <w:sz w:val="24"/>
          <w:szCs w:val="24"/>
        </w:rPr>
        <w:tab/>
      </w:r>
      <w:r w:rsidR="004920B7" w:rsidRPr="002E1042">
        <w:rPr>
          <w:rFonts w:ascii="Arial" w:hAnsi="Arial" w:cs="Arial"/>
          <w:sz w:val="24"/>
          <w:szCs w:val="24"/>
        </w:rPr>
        <w:t>5</w:t>
      </w:r>
    </w:p>
    <w:p w14:paraId="1D33CF16" w14:textId="3E035D6F" w:rsidR="00200675" w:rsidRPr="002E1042" w:rsidRDefault="00200675" w:rsidP="009E68C5">
      <w:pPr>
        <w:rPr>
          <w:rFonts w:ascii="Arial" w:hAnsi="Arial" w:cs="Arial"/>
          <w:sz w:val="24"/>
          <w:szCs w:val="24"/>
        </w:rPr>
      </w:pPr>
      <w:r w:rsidRPr="002E1042">
        <w:rPr>
          <w:rFonts w:ascii="Arial" w:hAnsi="Arial" w:cs="Arial"/>
          <w:sz w:val="24"/>
          <w:szCs w:val="24"/>
        </w:rPr>
        <w:t>Grievances</w:t>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Pr="002E1042">
        <w:rPr>
          <w:rFonts w:ascii="Arial" w:hAnsi="Arial" w:cs="Arial"/>
          <w:sz w:val="24"/>
          <w:szCs w:val="24"/>
        </w:rPr>
        <w:tab/>
      </w:r>
      <w:r w:rsidR="004920B7" w:rsidRPr="002E1042">
        <w:rPr>
          <w:rFonts w:ascii="Arial" w:hAnsi="Arial" w:cs="Arial"/>
          <w:sz w:val="24"/>
          <w:szCs w:val="24"/>
        </w:rPr>
        <w:t>5</w:t>
      </w:r>
    </w:p>
    <w:p w14:paraId="57A6D831" w14:textId="3E84D903" w:rsidR="00200675" w:rsidRPr="002E1042" w:rsidRDefault="00200675" w:rsidP="009E68C5">
      <w:pPr>
        <w:rPr>
          <w:rFonts w:ascii="Arial" w:hAnsi="Arial" w:cs="Arial"/>
          <w:sz w:val="24"/>
          <w:szCs w:val="24"/>
        </w:rPr>
      </w:pPr>
      <w:r w:rsidRPr="002E1042">
        <w:rPr>
          <w:rFonts w:ascii="Arial" w:hAnsi="Arial" w:cs="Arial"/>
          <w:sz w:val="24"/>
          <w:szCs w:val="24"/>
        </w:rPr>
        <w:t>Monitoring and review</w:t>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r>
      <w:r w:rsidR="004920B7" w:rsidRPr="002E1042">
        <w:rPr>
          <w:rFonts w:ascii="Arial" w:hAnsi="Arial" w:cs="Arial"/>
          <w:sz w:val="24"/>
          <w:szCs w:val="24"/>
        </w:rPr>
        <w:tab/>
        <w:t>5</w:t>
      </w:r>
    </w:p>
    <w:p w14:paraId="1E34EC09" w14:textId="77777777" w:rsidR="00077DE1" w:rsidRPr="002E1042" w:rsidRDefault="00077DE1" w:rsidP="009E68C5">
      <w:pPr>
        <w:rPr>
          <w:rFonts w:ascii="Arial" w:hAnsi="Arial" w:cs="Arial"/>
          <w:sz w:val="24"/>
          <w:szCs w:val="24"/>
        </w:rPr>
      </w:pPr>
    </w:p>
    <w:p w14:paraId="6464A715" w14:textId="77777777" w:rsidR="00077DE1" w:rsidRPr="002E1042" w:rsidRDefault="00077DE1" w:rsidP="009E68C5">
      <w:pPr>
        <w:rPr>
          <w:rFonts w:ascii="Arial" w:hAnsi="Arial" w:cs="Arial"/>
          <w:sz w:val="24"/>
          <w:szCs w:val="24"/>
        </w:rPr>
      </w:pPr>
    </w:p>
    <w:p w14:paraId="2BE6CE12" w14:textId="77777777" w:rsidR="008928F0" w:rsidRPr="002E1042" w:rsidRDefault="008928F0" w:rsidP="009E68C5">
      <w:pPr>
        <w:rPr>
          <w:rFonts w:ascii="Arial" w:hAnsi="Arial" w:cs="Arial"/>
          <w:sz w:val="24"/>
          <w:szCs w:val="24"/>
        </w:rPr>
      </w:pPr>
    </w:p>
    <w:p w14:paraId="5B2D6DCE" w14:textId="77777777" w:rsidR="00CD367E" w:rsidRPr="002E1042" w:rsidRDefault="00CD367E" w:rsidP="009E68C5">
      <w:pPr>
        <w:rPr>
          <w:rFonts w:ascii="Arial" w:hAnsi="Arial" w:cs="Arial"/>
          <w:sz w:val="24"/>
          <w:szCs w:val="24"/>
        </w:rPr>
      </w:pPr>
    </w:p>
    <w:p w14:paraId="6E533F4A" w14:textId="77777777" w:rsidR="00CD367E" w:rsidRPr="002E1042" w:rsidRDefault="00CD367E" w:rsidP="009E68C5">
      <w:pPr>
        <w:rPr>
          <w:rFonts w:ascii="Arial" w:hAnsi="Arial" w:cs="Arial"/>
          <w:sz w:val="24"/>
          <w:szCs w:val="24"/>
        </w:rPr>
      </w:pPr>
    </w:p>
    <w:p w14:paraId="17CA2167" w14:textId="77777777" w:rsidR="00CD367E" w:rsidRPr="002E1042" w:rsidRDefault="00CD367E" w:rsidP="009E68C5">
      <w:pPr>
        <w:rPr>
          <w:rFonts w:ascii="Arial" w:hAnsi="Arial" w:cs="Arial"/>
          <w:sz w:val="24"/>
          <w:szCs w:val="24"/>
        </w:rPr>
      </w:pPr>
    </w:p>
    <w:p w14:paraId="2AEE6A0F" w14:textId="77777777" w:rsidR="00CD367E" w:rsidRPr="002E1042" w:rsidRDefault="00CD367E" w:rsidP="009E68C5">
      <w:pPr>
        <w:rPr>
          <w:rFonts w:ascii="Arial" w:hAnsi="Arial" w:cs="Arial"/>
          <w:sz w:val="24"/>
          <w:szCs w:val="24"/>
        </w:rPr>
      </w:pPr>
    </w:p>
    <w:p w14:paraId="7C1F1EAA" w14:textId="77777777" w:rsidR="00CD367E" w:rsidRPr="002E1042" w:rsidRDefault="00CD367E" w:rsidP="009E68C5">
      <w:pPr>
        <w:rPr>
          <w:rFonts w:ascii="Arial" w:hAnsi="Arial" w:cs="Arial"/>
          <w:sz w:val="24"/>
          <w:szCs w:val="24"/>
        </w:rPr>
      </w:pPr>
    </w:p>
    <w:p w14:paraId="7D1DD90A" w14:textId="77777777" w:rsidR="00CD367E" w:rsidRPr="002E1042" w:rsidRDefault="00CD367E" w:rsidP="009E68C5">
      <w:pPr>
        <w:rPr>
          <w:rFonts w:ascii="Arial" w:hAnsi="Arial" w:cs="Arial"/>
          <w:sz w:val="24"/>
          <w:szCs w:val="24"/>
        </w:rPr>
      </w:pPr>
    </w:p>
    <w:p w14:paraId="43318497" w14:textId="77777777" w:rsidR="00CD367E" w:rsidRPr="002E1042" w:rsidRDefault="00CD367E" w:rsidP="009E68C5">
      <w:pPr>
        <w:rPr>
          <w:rFonts w:ascii="Arial" w:hAnsi="Arial" w:cs="Arial"/>
          <w:sz w:val="24"/>
          <w:szCs w:val="24"/>
        </w:rPr>
      </w:pPr>
    </w:p>
    <w:p w14:paraId="06CEFC19" w14:textId="77777777" w:rsidR="00CD367E" w:rsidRPr="002E1042" w:rsidRDefault="00CD367E" w:rsidP="009E68C5">
      <w:pPr>
        <w:rPr>
          <w:rFonts w:ascii="Arial" w:hAnsi="Arial" w:cs="Arial"/>
          <w:sz w:val="24"/>
          <w:szCs w:val="24"/>
        </w:rPr>
      </w:pPr>
    </w:p>
    <w:p w14:paraId="7AF8F9FE" w14:textId="77777777" w:rsidR="00EC6945" w:rsidRPr="002E1042" w:rsidRDefault="00EC6945" w:rsidP="00CD367E">
      <w:pPr>
        <w:rPr>
          <w:rFonts w:ascii="Arial" w:hAnsi="Arial" w:cs="Arial"/>
          <w:sz w:val="24"/>
          <w:szCs w:val="24"/>
        </w:rPr>
      </w:pPr>
    </w:p>
    <w:p w14:paraId="0A738A92" w14:textId="6C11B63A" w:rsidR="00200675" w:rsidRPr="002E1042" w:rsidRDefault="00200675" w:rsidP="00200675">
      <w:pPr>
        <w:rPr>
          <w:rFonts w:ascii="Arial" w:hAnsi="Arial" w:cs="Arial"/>
          <w:b/>
          <w:bCs/>
          <w:sz w:val="24"/>
          <w:szCs w:val="24"/>
        </w:rPr>
      </w:pPr>
      <w:r w:rsidRPr="002E1042">
        <w:rPr>
          <w:rFonts w:ascii="Arial" w:hAnsi="Arial" w:cs="Arial"/>
          <w:b/>
          <w:bCs/>
          <w:sz w:val="24"/>
          <w:szCs w:val="24"/>
        </w:rPr>
        <w:t>Our commitment</w:t>
      </w:r>
      <w:r w:rsidR="008521A2" w:rsidRPr="002E1042">
        <w:rPr>
          <w:rStyle w:val="EndnoteReference"/>
          <w:rFonts w:ascii="Arial" w:hAnsi="Arial" w:cs="Arial"/>
          <w:b/>
          <w:bCs/>
          <w:sz w:val="24"/>
          <w:szCs w:val="24"/>
          <w:highlight w:val="yellow"/>
        </w:rPr>
        <w:endnoteReference w:id="1"/>
      </w:r>
    </w:p>
    <w:p w14:paraId="347AB994" w14:textId="77777777" w:rsidR="00200675" w:rsidRPr="002E1042" w:rsidRDefault="00200675" w:rsidP="00200675">
      <w:pPr>
        <w:rPr>
          <w:rFonts w:ascii="Arial" w:hAnsi="Arial" w:cs="Arial"/>
          <w:b/>
          <w:bCs/>
          <w:sz w:val="24"/>
          <w:szCs w:val="24"/>
        </w:rPr>
      </w:pPr>
      <w:r w:rsidRPr="002E1042">
        <w:rPr>
          <w:rFonts w:ascii="Arial" w:hAnsi="Arial" w:cs="Arial"/>
          <w:sz w:val="24"/>
          <w:szCs w:val="24"/>
        </w:rPr>
        <w:t>The council is committed to providing equal opportunities in employment and to avoiding unlawful discrimination.</w:t>
      </w:r>
    </w:p>
    <w:p w14:paraId="03618BD5" w14:textId="77777777" w:rsidR="00200675" w:rsidRPr="002E1042" w:rsidRDefault="00200675" w:rsidP="00200675">
      <w:pPr>
        <w:rPr>
          <w:rFonts w:ascii="Arial" w:hAnsi="Arial" w:cs="Arial"/>
          <w:b/>
          <w:bCs/>
          <w:sz w:val="24"/>
          <w:szCs w:val="24"/>
        </w:rPr>
      </w:pPr>
      <w:r w:rsidRPr="002E1042">
        <w:rPr>
          <w:rFonts w:ascii="Arial" w:hAnsi="Arial" w:cs="Arial"/>
          <w:sz w:val="24"/>
          <w:szCs w:val="24"/>
        </w:rPr>
        <w:t>This policy is intended to assist the council to put this commitment into practice. Compliance with this policy should also ensure that employees do not commit unlawful acts of discrimination.</w:t>
      </w:r>
    </w:p>
    <w:p w14:paraId="1ECB164D" w14:textId="77777777" w:rsidR="00200675" w:rsidRPr="002E1042" w:rsidRDefault="00200675" w:rsidP="00200675">
      <w:pPr>
        <w:rPr>
          <w:rFonts w:ascii="Arial" w:hAnsi="Arial" w:cs="Arial"/>
          <w:sz w:val="24"/>
          <w:szCs w:val="24"/>
        </w:rPr>
      </w:pPr>
      <w:r w:rsidRPr="002E1042">
        <w:rPr>
          <w:rFonts w:ascii="Arial" w:hAnsi="Arial" w:cs="Arial"/>
          <w:sz w:val="24"/>
          <w:szCs w:val="24"/>
        </w:rPr>
        <w:t>Striving to ensure that the work environment is free of harassment and bullying and that everyone is treated with dignity and respect is an important aspect of ensuring equal opportunities in employment.</w:t>
      </w:r>
    </w:p>
    <w:p w14:paraId="60412E80" w14:textId="5B8CFC74" w:rsidR="00200675" w:rsidRPr="002E1042" w:rsidRDefault="00200675" w:rsidP="00200675">
      <w:pPr>
        <w:rPr>
          <w:rFonts w:ascii="Arial" w:hAnsi="Arial" w:cs="Arial"/>
          <w:b/>
          <w:bCs/>
          <w:sz w:val="24"/>
          <w:szCs w:val="24"/>
        </w:rPr>
      </w:pPr>
      <w:r w:rsidRPr="002E1042">
        <w:rPr>
          <w:rFonts w:ascii="Arial" w:hAnsi="Arial" w:cs="Arial"/>
          <w:b/>
          <w:bCs/>
          <w:sz w:val="24"/>
          <w:szCs w:val="24"/>
        </w:rPr>
        <w:t>The law</w:t>
      </w:r>
      <w:r w:rsidR="00C910A6" w:rsidRPr="002E1042">
        <w:rPr>
          <w:rStyle w:val="EndnoteReference"/>
          <w:rFonts w:ascii="Arial" w:hAnsi="Arial" w:cs="Arial"/>
          <w:b/>
          <w:bCs/>
          <w:sz w:val="24"/>
          <w:szCs w:val="24"/>
          <w:highlight w:val="yellow"/>
        </w:rPr>
        <w:endnoteReference w:id="2"/>
      </w:r>
    </w:p>
    <w:p w14:paraId="3FA1C947" w14:textId="77777777" w:rsidR="00200675" w:rsidRPr="002E1042" w:rsidRDefault="00200675" w:rsidP="00200675">
      <w:pPr>
        <w:rPr>
          <w:rFonts w:ascii="Arial" w:hAnsi="Arial" w:cs="Arial"/>
          <w:sz w:val="24"/>
          <w:szCs w:val="24"/>
        </w:rPr>
      </w:pPr>
      <w:r w:rsidRPr="002E1042">
        <w:rPr>
          <w:rFonts w:ascii="Arial" w:hAnsi="Arial" w:cs="Arial"/>
          <w:sz w:val="24"/>
          <w:szCs w:val="24"/>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E1042" w:rsidRDefault="00200675" w:rsidP="00200675">
      <w:pPr>
        <w:rPr>
          <w:rFonts w:ascii="Arial" w:hAnsi="Arial" w:cs="Arial"/>
          <w:sz w:val="24"/>
          <w:szCs w:val="24"/>
        </w:rPr>
      </w:pPr>
      <w:r w:rsidRPr="002E1042">
        <w:rPr>
          <w:rFonts w:ascii="Arial" w:hAnsi="Arial" w:cs="Arial"/>
          <w:sz w:val="24"/>
          <w:szCs w:val="24"/>
        </w:rPr>
        <w:t>Discrimination after employment may also be unlawful, e.g. refusing to give a reference for a reason related to one of the protected characteristics.</w:t>
      </w:r>
    </w:p>
    <w:p w14:paraId="240A1AFE" w14:textId="3C2B7DD4" w:rsidR="008F0241" w:rsidRPr="002E1042" w:rsidRDefault="00200675" w:rsidP="00200675">
      <w:pPr>
        <w:rPr>
          <w:rFonts w:ascii="Arial" w:hAnsi="Arial" w:cs="Arial"/>
          <w:b/>
          <w:bCs/>
          <w:sz w:val="24"/>
          <w:szCs w:val="24"/>
        </w:rPr>
      </w:pPr>
      <w:r w:rsidRPr="002E1042">
        <w:rPr>
          <w:rFonts w:ascii="Arial" w:hAnsi="Arial" w:cs="Arial"/>
          <w:sz w:val="24"/>
          <w:szCs w:val="24"/>
        </w:rPr>
        <w:t>The council will not discriminate against or harass a member of the public in the provision of services or goods. It is unlawful to fail to make reasonable adjustments to overcome barriers to using services caused by disability.</w:t>
      </w:r>
      <w:r w:rsidR="004920B7" w:rsidRPr="002E1042">
        <w:rPr>
          <w:rFonts w:ascii="Arial" w:hAnsi="Arial" w:cs="Arial"/>
          <w:sz w:val="24"/>
          <w:szCs w:val="24"/>
        </w:rPr>
        <w:t xml:space="preserve"> </w:t>
      </w:r>
      <w:r w:rsidRPr="002E1042">
        <w:rPr>
          <w:rFonts w:ascii="Arial" w:hAnsi="Arial" w:cs="Arial"/>
          <w:sz w:val="24"/>
          <w:szCs w:val="24"/>
        </w:rPr>
        <w:t>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4B63B59" w14:textId="10337BA4" w:rsidR="004920B7" w:rsidRPr="002E1042" w:rsidRDefault="004920B7" w:rsidP="004920B7">
      <w:pPr>
        <w:rPr>
          <w:rFonts w:ascii="Arial" w:hAnsi="Arial" w:cs="Arial"/>
          <w:b/>
          <w:bCs/>
          <w:sz w:val="24"/>
          <w:szCs w:val="24"/>
        </w:rPr>
      </w:pPr>
      <w:r w:rsidRPr="002E1042">
        <w:rPr>
          <w:rFonts w:ascii="Arial" w:hAnsi="Arial" w:cs="Arial"/>
          <w:b/>
          <w:bCs/>
          <w:sz w:val="24"/>
          <w:szCs w:val="24"/>
        </w:rPr>
        <w:t>Types of unlawful discrimination</w:t>
      </w:r>
      <w:r w:rsidR="003330DA" w:rsidRPr="002E1042">
        <w:rPr>
          <w:rStyle w:val="EndnoteReference"/>
          <w:rFonts w:ascii="Arial" w:hAnsi="Arial" w:cs="Arial"/>
          <w:b/>
          <w:bCs/>
          <w:sz w:val="24"/>
          <w:szCs w:val="24"/>
          <w:highlight w:val="yellow"/>
        </w:rPr>
        <w:endnoteReference w:id="3"/>
      </w:r>
    </w:p>
    <w:p w14:paraId="072357D0" w14:textId="77777777" w:rsidR="004920B7" w:rsidRPr="002E1042" w:rsidRDefault="004920B7" w:rsidP="004920B7">
      <w:pPr>
        <w:rPr>
          <w:rFonts w:ascii="Arial" w:hAnsi="Arial" w:cs="Arial"/>
          <w:sz w:val="24"/>
          <w:szCs w:val="24"/>
        </w:rPr>
      </w:pPr>
      <w:r w:rsidRPr="002E1042">
        <w:rPr>
          <w:rFonts w:ascii="Arial" w:hAnsi="Arial" w:cs="Arial"/>
          <w:sz w:val="24"/>
          <w:szCs w:val="24"/>
          <w:u w:val="single"/>
        </w:rPr>
        <w:t>Direct discrimination</w:t>
      </w:r>
      <w:r w:rsidRPr="002E1042">
        <w:rPr>
          <w:rFonts w:ascii="Arial" w:hAnsi="Arial" w:cs="Arial"/>
          <w:sz w:val="24"/>
          <w:szCs w:val="24"/>
        </w:rPr>
        <w:t xml:space="preserve"> is where a person is treated less favourably than another because of a protected characteristic.</w:t>
      </w:r>
    </w:p>
    <w:p w14:paraId="6C8E1829" w14:textId="77777777" w:rsidR="004920B7" w:rsidRPr="002E1042" w:rsidRDefault="004920B7" w:rsidP="004920B7">
      <w:pPr>
        <w:rPr>
          <w:rFonts w:ascii="Arial" w:hAnsi="Arial" w:cs="Arial"/>
          <w:sz w:val="24"/>
          <w:szCs w:val="24"/>
        </w:rPr>
      </w:pPr>
      <w:r w:rsidRPr="002E1042">
        <w:rPr>
          <w:rFonts w:ascii="Arial" w:hAnsi="Arial" w:cs="Arial"/>
          <w:sz w:val="24"/>
          <w:szCs w:val="24"/>
        </w:rPr>
        <w:lastRenderedPageBreak/>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68DC14EF" w14:textId="65403DC2" w:rsidR="004920B7" w:rsidRPr="002E1042" w:rsidRDefault="004920B7" w:rsidP="004920B7">
      <w:pPr>
        <w:rPr>
          <w:rFonts w:ascii="Arial" w:hAnsi="Arial" w:cs="Arial"/>
          <w:sz w:val="24"/>
          <w:szCs w:val="24"/>
        </w:rPr>
      </w:pPr>
      <w:r w:rsidRPr="002E1042">
        <w:rPr>
          <w:rFonts w:ascii="Arial" w:hAnsi="Arial" w:cs="Arial"/>
          <w:sz w:val="24"/>
          <w:szCs w:val="24"/>
          <w:u w:val="single"/>
        </w:rPr>
        <w:t>Indirect discrimination</w:t>
      </w:r>
      <w:r w:rsidRPr="002E1042">
        <w:rPr>
          <w:rFonts w:ascii="Arial" w:hAnsi="Arial" w:cs="Arial"/>
          <w:sz w:val="24"/>
          <w:szCs w:val="24"/>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0B1D5E3" w14:textId="77777777" w:rsidR="004920B7" w:rsidRPr="002E1042" w:rsidRDefault="004920B7" w:rsidP="004920B7">
      <w:pPr>
        <w:rPr>
          <w:rFonts w:ascii="Arial" w:hAnsi="Arial" w:cs="Arial"/>
          <w:sz w:val="24"/>
          <w:szCs w:val="24"/>
        </w:rPr>
      </w:pPr>
      <w:r w:rsidRPr="002E1042">
        <w:rPr>
          <w:rFonts w:ascii="Arial" w:hAnsi="Arial" w:cs="Arial"/>
          <w:sz w:val="24"/>
          <w:szCs w:val="24"/>
          <w:u w:val="single"/>
        </w:rPr>
        <w:t>Harassment</w:t>
      </w:r>
      <w:r w:rsidRPr="002E1042">
        <w:rPr>
          <w:rFonts w:ascii="Arial" w:hAnsi="Arial" w:cs="Arial"/>
          <w:sz w:val="24"/>
          <w:szCs w:val="24"/>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2E1042">
        <w:rPr>
          <w:rFonts w:ascii="Arial" w:hAnsi="Arial" w:cs="Arial"/>
          <w:sz w:val="24"/>
          <w:szCs w:val="24"/>
        </w:rPr>
        <w:t>whether or not</w:t>
      </w:r>
      <w:proofErr w:type="gramEnd"/>
      <w:r w:rsidRPr="002E1042">
        <w:rPr>
          <w:rFonts w:ascii="Arial" w:hAnsi="Arial" w:cs="Arial"/>
          <w:sz w:val="24"/>
          <w:szCs w:val="24"/>
        </w:rPr>
        <w:t xml:space="preserve"> this effect was intended by the person responsible for the conduct.</w:t>
      </w:r>
    </w:p>
    <w:p w14:paraId="3B11C3B6" w14:textId="5202CE51" w:rsidR="004920B7" w:rsidRPr="002E1042" w:rsidRDefault="004920B7" w:rsidP="004920B7">
      <w:pPr>
        <w:rPr>
          <w:rFonts w:ascii="Arial" w:hAnsi="Arial" w:cs="Arial"/>
          <w:sz w:val="24"/>
          <w:szCs w:val="24"/>
        </w:rPr>
      </w:pPr>
      <w:r w:rsidRPr="002E1042">
        <w:rPr>
          <w:rFonts w:ascii="Arial" w:hAnsi="Arial" w:cs="Arial"/>
          <w:sz w:val="24"/>
          <w:szCs w:val="24"/>
          <w:u w:val="single"/>
        </w:rPr>
        <w:t>Associative discrimination</w:t>
      </w:r>
      <w:r w:rsidRPr="002E1042">
        <w:rPr>
          <w:rFonts w:ascii="Arial" w:hAnsi="Arial" w:cs="Arial"/>
          <w:sz w:val="24"/>
          <w:szCs w:val="24"/>
        </w:rPr>
        <w:t xml:space="preserve"> is where an individual is directly discriminated against or harassed for association with another individual who has a protected characteristic.</w:t>
      </w:r>
    </w:p>
    <w:p w14:paraId="1B2E7307" w14:textId="77777777" w:rsidR="004920B7" w:rsidRPr="002E1042" w:rsidRDefault="004920B7" w:rsidP="004920B7">
      <w:pPr>
        <w:rPr>
          <w:rFonts w:ascii="Arial" w:hAnsi="Arial" w:cs="Arial"/>
          <w:sz w:val="24"/>
          <w:szCs w:val="24"/>
        </w:rPr>
      </w:pPr>
      <w:r w:rsidRPr="002E1042">
        <w:rPr>
          <w:rFonts w:ascii="Arial" w:hAnsi="Arial" w:cs="Arial"/>
          <w:sz w:val="24"/>
          <w:szCs w:val="24"/>
          <w:u w:val="single"/>
        </w:rPr>
        <w:t>Perceptive discrimination</w:t>
      </w:r>
      <w:r w:rsidRPr="002E1042">
        <w:rPr>
          <w:rFonts w:ascii="Arial" w:hAnsi="Arial" w:cs="Arial"/>
          <w:sz w:val="24"/>
          <w:szCs w:val="24"/>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2E1042" w:rsidRDefault="004920B7" w:rsidP="004920B7">
      <w:pPr>
        <w:rPr>
          <w:rFonts w:ascii="Arial" w:hAnsi="Arial" w:cs="Arial"/>
          <w:sz w:val="24"/>
          <w:szCs w:val="24"/>
        </w:rPr>
      </w:pPr>
      <w:r w:rsidRPr="002E1042">
        <w:rPr>
          <w:rFonts w:ascii="Arial" w:hAnsi="Arial" w:cs="Arial"/>
          <w:sz w:val="24"/>
          <w:szCs w:val="24"/>
          <w:u w:val="single"/>
        </w:rPr>
        <w:t>Third-party harassment</w:t>
      </w:r>
      <w:r w:rsidRPr="002E1042">
        <w:rPr>
          <w:rFonts w:ascii="Arial" w:hAnsi="Arial" w:cs="Arial"/>
          <w:sz w:val="24"/>
          <w:szCs w:val="24"/>
        </w:rPr>
        <w:t xml:space="preserve"> occurs where an employee is harassed and the harassment is related to a protected characteristic, by third parties. </w:t>
      </w:r>
    </w:p>
    <w:p w14:paraId="1C1917CB" w14:textId="77777777" w:rsidR="004920B7" w:rsidRPr="002E1042" w:rsidRDefault="004920B7" w:rsidP="004920B7">
      <w:pPr>
        <w:rPr>
          <w:rFonts w:ascii="Arial" w:hAnsi="Arial" w:cs="Arial"/>
          <w:sz w:val="24"/>
          <w:szCs w:val="24"/>
        </w:rPr>
      </w:pPr>
      <w:r w:rsidRPr="002E1042">
        <w:rPr>
          <w:rFonts w:ascii="Arial" w:hAnsi="Arial" w:cs="Arial"/>
          <w:sz w:val="24"/>
          <w:szCs w:val="24"/>
          <w:u w:val="single"/>
        </w:rPr>
        <w:t>Victimisation</w:t>
      </w:r>
      <w:r w:rsidRPr="002E1042">
        <w:rPr>
          <w:rFonts w:ascii="Arial" w:hAnsi="Arial" w:cs="Arial"/>
          <w:sz w:val="24"/>
          <w:szCs w:val="24"/>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Pr="002E1042" w:rsidRDefault="004920B7" w:rsidP="004920B7">
      <w:pPr>
        <w:rPr>
          <w:rFonts w:ascii="Arial" w:hAnsi="Arial" w:cs="Arial"/>
          <w:sz w:val="24"/>
          <w:szCs w:val="24"/>
        </w:rPr>
      </w:pPr>
      <w:r w:rsidRPr="002E1042">
        <w:rPr>
          <w:rFonts w:ascii="Arial" w:hAnsi="Arial" w:cs="Arial"/>
          <w:sz w:val="24"/>
          <w:szCs w:val="24"/>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13690863" w:rsidR="004920B7" w:rsidRPr="002E1042" w:rsidRDefault="004920B7" w:rsidP="004920B7">
      <w:pPr>
        <w:rPr>
          <w:rFonts w:ascii="Arial" w:hAnsi="Arial" w:cs="Arial"/>
          <w:b/>
          <w:bCs/>
          <w:sz w:val="24"/>
          <w:szCs w:val="24"/>
        </w:rPr>
      </w:pPr>
      <w:r w:rsidRPr="002E1042">
        <w:rPr>
          <w:rFonts w:ascii="Arial" w:hAnsi="Arial" w:cs="Arial"/>
          <w:b/>
          <w:bCs/>
          <w:sz w:val="24"/>
          <w:szCs w:val="24"/>
        </w:rPr>
        <w:t>Equal opportunities in employment</w:t>
      </w:r>
      <w:r w:rsidR="0095278B" w:rsidRPr="002E1042">
        <w:rPr>
          <w:rStyle w:val="EndnoteReference"/>
          <w:rFonts w:ascii="Arial" w:hAnsi="Arial" w:cs="Arial"/>
          <w:b/>
          <w:bCs/>
          <w:sz w:val="24"/>
          <w:szCs w:val="24"/>
          <w:highlight w:val="yellow"/>
        </w:rPr>
        <w:endnoteReference w:id="4"/>
      </w:r>
    </w:p>
    <w:p w14:paraId="47D0EDC5" w14:textId="77777777" w:rsidR="004920B7" w:rsidRPr="002E1042" w:rsidRDefault="004920B7" w:rsidP="004920B7">
      <w:pPr>
        <w:rPr>
          <w:rFonts w:ascii="Arial" w:hAnsi="Arial" w:cs="Arial"/>
          <w:b/>
          <w:bCs/>
          <w:sz w:val="24"/>
          <w:szCs w:val="24"/>
        </w:rPr>
      </w:pPr>
      <w:r w:rsidRPr="002E1042">
        <w:rPr>
          <w:rFonts w:ascii="Arial" w:hAnsi="Arial" w:cs="Arial"/>
          <w:sz w:val="24"/>
          <w:szCs w:val="24"/>
        </w:rPr>
        <w:lastRenderedPageBreak/>
        <w:t>The council will avoid unlawful discrimination in all aspects of employment including recruitment, promotion, opportunities for training, pay and benefits, discipline and selection for redundancy.</w:t>
      </w:r>
    </w:p>
    <w:p w14:paraId="4D537F11" w14:textId="77777777" w:rsidR="004920B7" w:rsidRPr="002E1042" w:rsidRDefault="004920B7" w:rsidP="004920B7">
      <w:pPr>
        <w:rPr>
          <w:rFonts w:ascii="Arial" w:hAnsi="Arial" w:cs="Arial"/>
          <w:b/>
          <w:bCs/>
          <w:sz w:val="24"/>
          <w:szCs w:val="24"/>
          <w:u w:val="single"/>
        </w:rPr>
      </w:pPr>
      <w:r w:rsidRPr="002E1042">
        <w:rPr>
          <w:rFonts w:ascii="Arial" w:hAnsi="Arial" w:cs="Arial"/>
          <w:sz w:val="24"/>
          <w:szCs w:val="24"/>
          <w:u w:val="single"/>
        </w:rPr>
        <w:t>Recruitment</w:t>
      </w:r>
    </w:p>
    <w:p w14:paraId="2E90D365" w14:textId="579C3349" w:rsidR="004920B7" w:rsidRPr="002E1042" w:rsidRDefault="004920B7" w:rsidP="004920B7">
      <w:pPr>
        <w:rPr>
          <w:rFonts w:ascii="Arial" w:hAnsi="Arial" w:cs="Arial"/>
          <w:b/>
          <w:bCs/>
          <w:sz w:val="24"/>
          <w:szCs w:val="24"/>
          <w:u w:val="single"/>
        </w:rPr>
      </w:pPr>
      <w:r w:rsidRPr="002E1042">
        <w:rPr>
          <w:rFonts w:ascii="Arial" w:hAnsi="Arial" w:cs="Arial"/>
          <w:sz w:val="24"/>
          <w:szCs w:val="24"/>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2E1042" w:rsidRDefault="004920B7" w:rsidP="004920B7">
      <w:pPr>
        <w:rPr>
          <w:rFonts w:ascii="Arial" w:hAnsi="Arial" w:cs="Arial"/>
          <w:sz w:val="24"/>
          <w:szCs w:val="24"/>
          <w:u w:val="single"/>
        </w:rPr>
      </w:pPr>
      <w:r w:rsidRPr="002E1042">
        <w:rPr>
          <w:rFonts w:ascii="Arial" w:hAnsi="Arial" w:cs="Arial"/>
          <w:sz w:val="24"/>
          <w:szCs w:val="24"/>
          <w:u w:val="single"/>
        </w:rPr>
        <w:t>Working practices</w:t>
      </w:r>
    </w:p>
    <w:p w14:paraId="03393534" w14:textId="0C1E6241" w:rsidR="004920B7" w:rsidRPr="002E1042" w:rsidRDefault="004920B7" w:rsidP="004920B7">
      <w:pPr>
        <w:rPr>
          <w:rFonts w:ascii="Arial" w:hAnsi="Arial" w:cs="Arial"/>
          <w:sz w:val="24"/>
          <w:szCs w:val="24"/>
        </w:rPr>
      </w:pPr>
      <w:r w:rsidRPr="002E1042">
        <w:rPr>
          <w:rFonts w:ascii="Arial" w:hAnsi="Arial" w:cs="Arial"/>
          <w:sz w:val="24"/>
          <w:szCs w:val="24"/>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2E1042" w:rsidRDefault="004920B7" w:rsidP="004920B7">
      <w:pPr>
        <w:rPr>
          <w:rFonts w:ascii="Arial" w:hAnsi="Arial" w:cs="Arial"/>
          <w:sz w:val="24"/>
          <w:szCs w:val="24"/>
          <w:u w:val="single"/>
        </w:rPr>
      </w:pPr>
      <w:r w:rsidRPr="002E1042">
        <w:rPr>
          <w:rFonts w:ascii="Arial" w:hAnsi="Arial" w:cs="Arial"/>
          <w:sz w:val="24"/>
          <w:szCs w:val="24"/>
          <w:u w:val="single"/>
        </w:rPr>
        <w:t>Equal opportunities monitoring</w:t>
      </w:r>
    </w:p>
    <w:p w14:paraId="58E942AE" w14:textId="77777777" w:rsidR="004920B7" w:rsidRPr="002E1042" w:rsidRDefault="004920B7" w:rsidP="004920B7">
      <w:pPr>
        <w:rPr>
          <w:rFonts w:ascii="Arial" w:hAnsi="Arial" w:cs="Arial"/>
          <w:sz w:val="24"/>
          <w:szCs w:val="24"/>
        </w:rPr>
      </w:pPr>
      <w:r w:rsidRPr="002E1042">
        <w:rPr>
          <w:rFonts w:ascii="Arial" w:hAnsi="Arial" w:cs="Arial"/>
          <w:sz w:val="24"/>
          <w:szCs w:val="24"/>
        </w:rPr>
        <w:t xml:space="preserve">The council will monitor the ethnic, gender and age composition of the existing workforce and of applicants for jobs (including promotion), and the number of people with disabilities within these </w:t>
      </w:r>
      <w:proofErr w:type="gramStart"/>
      <w:r w:rsidRPr="002E1042">
        <w:rPr>
          <w:rFonts w:ascii="Arial" w:hAnsi="Arial" w:cs="Arial"/>
          <w:sz w:val="24"/>
          <w:szCs w:val="24"/>
        </w:rPr>
        <w:t>groups, and</w:t>
      </w:r>
      <w:proofErr w:type="gramEnd"/>
      <w:r w:rsidRPr="002E1042">
        <w:rPr>
          <w:rFonts w:ascii="Arial" w:hAnsi="Arial" w:cs="Arial"/>
          <w:sz w:val="24"/>
          <w:szCs w:val="24"/>
        </w:rPr>
        <w:t xml:space="preserve"> will consider and take any appropriate action to address any problems that may be identified </w:t>
      </w:r>
      <w:proofErr w:type="gramStart"/>
      <w:r w:rsidRPr="002E1042">
        <w:rPr>
          <w:rFonts w:ascii="Arial" w:hAnsi="Arial" w:cs="Arial"/>
          <w:sz w:val="24"/>
          <w:szCs w:val="24"/>
        </w:rPr>
        <w:t>as a result of</w:t>
      </w:r>
      <w:proofErr w:type="gramEnd"/>
      <w:r w:rsidRPr="002E1042">
        <w:rPr>
          <w:rFonts w:ascii="Arial" w:hAnsi="Arial" w:cs="Arial"/>
          <w:sz w:val="24"/>
          <w:szCs w:val="24"/>
        </w:rPr>
        <w:t xml:space="preserve"> the monitoring process.</w:t>
      </w:r>
    </w:p>
    <w:p w14:paraId="7B912241" w14:textId="1D72D1D9" w:rsidR="004920B7" w:rsidRPr="002E1042" w:rsidRDefault="004920B7" w:rsidP="004920B7">
      <w:pPr>
        <w:rPr>
          <w:rFonts w:ascii="Arial" w:hAnsi="Arial" w:cs="Arial"/>
          <w:sz w:val="24"/>
          <w:szCs w:val="24"/>
        </w:rPr>
      </w:pPr>
      <w:r w:rsidRPr="002E1042">
        <w:rPr>
          <w:rFonts w:ascii="Arial" w:hAnsi="Arial" w:cs="Arial"/>
          <w:sz w:val="24"/>
          <w:szCs w:val="24"/>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68D2AD12" w:rsidR="004920B7" w:rsidRPr="002E1042" w:rsidRDefault="004920B7" w:rsidP="004920B7">
      <w:pPr>
        <w:rPr>
          <w:rFonts w:ascii="Arial" w:hAnsi="Arial" w:cs="Arial"/>
          <w:b/>
          <w:bCs/>
          <w:sz w:val="24"/>
          <w:szCs w:val="24"/>
        </w:rPr>
      </w:pPr>
      <w:r w:rsidRPr="002E1042">
        <w:rPr>
          <w:rFonts w:ascii="Arial" w:hAnsi="Arial" w:cs="Arial"/>
          <w:b/>
          <w:bCs/>
          <w:sz w:val="24"/>
          <w:szCs w:val="24"/>
        </w:rPr>
        <w:t>Dignity at work</w:t>
      </w:r>
      <w:r w:rsidR="00113BD7" w:rsidRPr="002E1042">
        <w:rPr>
          <w:rStyle w:val="EndnoteReference"/>
          <w:rFonts w:ascii="Arial" w:hAnsi="Arial" w:cs="Arial"/>
          <w:b/>
          <w:bCs/>
          <w:sz w:val="24"/>
          <w:szCs w:val="24"/>
          <w:highlight w:val="yellow"/>
        </w:rPr>
        <w:endnoteReference w:id="5"/>
      </w:r>
    </w:p>
    <w:p w14:paraId="2620758A" w14:textId="77777777" w:rsidR="004920B7" w:rsidRPr="002E1042" w:rsidRDefault="004920B7" w:rsidP="004920B7">
      <w:pPr>
        <w:rPr>
          <w:rFonts w:ascii="Arial" w:hAnsi="Arial" w:cs="Arial"/>
          <w:b/>
          <w:bCs/>
          <w:sz w:val="24"/>
          <w:szCs w:val="24"/>
        </w:rPr>
      </w:pPr>
      <w:r w:rsidRPr="002E1042">
        <w:rPr>
          <w:rFonts w:ascii="Arial" w:hAnsi="Arial" w:cs="Arial"/>
          <w:sz w:val="24"/>
          <w:szCs w:val="24"/>
        </w:rPr>
        <w:t>The council has a separate dignity at work policy concerning issues of bullying and harassment on any ground, and how complaints of this type will be dealt with.</w:t>
      </w:r>
    </w:p>
    <w:p w14:paraId="45D1C962" w14:textId="2DD9C53A" w:rsidR="004920B7" w:rsidRPr="002E1042" w:rsidRDefault="004920B7" w:rsidP="004920B7">
      <w:pPr>
        <w:rPr>
          <w:rFonts w:ascii="Arial" w:hAnsi="Arial" w:cs="Arial"/>
          <w:b/>
          <w:bCs/>
          <w:sz w:val="24"/>
          <w:szCs w:val="24"/>
        </w:rPr>
      </w:pPr>
      <w:r w:rsidRPr="002E1042">
        <w:rPr>
          <w:rFonts w:ascii="Arial" w:hAnsi="Arial" w:cs="Arial"/>
          <w:b/>
          <w:bCs/>
          <w:sz w:val="24"/>
          <w:szCs w:val="24"/>
        </w:rPr>
        <w:lastRenderedPageBreak/>
        <w:t>People not employed by the council</w:t>
      </w:r>
      <w:r w:rsidR="00F13649" w:rsidRPr="002E1042">
        <w:rPr>
          <w:rStyle w:val="EndnoteReference"/>
          <w:rFonts w:ascii="Arial" w:hAnsi="Arial" w:cs="Arial"/>
          <w:b/>
          <w:bCs/>
          <w:sz w:val="24"/>
          <w:szCs w:val="24"/>
          <w:highlight w:val="yellow"/>
        </w:rPr>
        <w:endnoteReference w:id="6"/>
      </w:r>
    </w:p>
    <w:p w14:paraId="3F7FC887" w14:textId="77777777" w:rsidR="004920B7" w:rsidRPr="002E1042" w:rsidRDefault="004920B7" w:rsidP="004920B7">
      <w:pPr>
        <w:rPr>
          <w:rFonts w:ascii="Arial" w:hAnsi="Arial" w:cs="Arial"/>
          <w:sz w:val="24"/>
          <w:szCs w:val="24"/>
        </w:rPr>
      </w:pPr>
      <w:r w:rsidRPr="002E1042">
        <w:rPr>
          <w:rFonts w:ascii="Arial" w:hAnsi="Arial" w:cs="Arial"/>
          <w:sz w:val="24"/>
          <w:szCs w:val="24"/>
        </w:rPr>
        <w:t>The council will not discriminate unlawfully against those using or seeking to use the services provided by the council.</w:t>
      </w:r>
    </w:p>
    <w:p w14:paraId="608EA3C5" w14:textId="2C7FD79F" w:rsidR="004920B7" w:rsidRPr="002E1042" w:rsidRDefault="004920B7" w:rsidP="004920B7">
      <w:pPr>
        <w:rPr>
          <w:rFonts w:ascii="Arial" w:hAnsi="Arial" w:cs="Arial"/>
          <w:b/>
          <w:bCs/>
          <w:sz w:val="24"/>
          <w:szCs w:val="24"/>
        </w:rPr>
      </w:pPr>
      <w:r w:rsidRPr="002E1042">
        <w:rPr>
          <w:rFonts w:ascii="Arial" w:hAnsi="Arial" w:cs="Arial"/>
          <w:sz w:val="24"/>
          <w:szCs w:val="24"/>
        </w:rPr>
        <w:t xml:space="preserve">You should report any bullying or harassment by suppliers, visitors or others to the council who will take appropriate action. </w:t>
      </w:r>
    </w:p>
    <w:p w14:paraId="74062667" w14:textId="45EF0CAF" w:rsidR="004920B7" w:rsidRPr="002E1042" w:rsidRDefault="004920B7" w:rsidP="004920B7">
      <w:pPr>
        <w:rPr>
          <w:rFonts w:ascii="Arial" w:hAnsi="Arial" w:cs="Arial"/>
          <w:b/>
          <w:bCs/>
          <w:sz w:val="24"/>
          <w:szCs w:val="24"/>
        </w:rPr>
      </w:pPr>
      <w:r w:rsidRPr="002E1042">
        <w:rPr>
          <w:rFonts w:ascii="Arial" w:hAnsi="Arial" w:cs="Arial"/>
          <w:b/>
          <w:bCs/>
          <w:sz w:val="24"/>
          <w:szCs w:val="24"/>
        </w:rPr>
        <w:t>Training</w:t>
      </w:r>
      <w:r w:rsidR="007942F7" w:rsidRPr="002E1042">
        <w:rPr>
          <w:rStyle w:val="EndnoteReference"/>
          <w:rFonts w:ascii="Arial" w:hAnsi="Arial" w:cs="Arial"/>
          <w:b/>
          <w:bCs/>
          <w:sz w:val="24"/>
          <w:szCs w:val="24"/>
          <w:highlight w:val="yellow"/>
        </w:rPr>
        <w:endnoteReference w:id="7"/>
      </w:r>
    </w:p>
    <w:p w14:paraId="273DBEE0" w14:textId="77777777" w:rsidR="004920B7" w:rsidRPr="002E1042" w:rsidRDefault="004920B7" w:rsidP="004920B7">
      <w:pPr>
        <w:rPr>
          <w:rFonts w:ascii="Arial" w:hAnsi="Arial" w:cs="Arial"/>
          <w:b/>
          <w:bCs/>
          <w:sz w:val="24"/>
          <w:szCs w:val="24"/>
        </w:rPr>
      </w:pPr>
      <w:r w:rsidRPr="002E1042">
        <w:rPr>
          <w:rFonts w:ascii="Arial" w:hAnsi="Arial" w:cs="Arial"/>
          <w:sz w:val="24"/>
          <w:szCs w:val="24"/>
        </w:rPr>
        <w:t>The council will [provide training in/raise awareness of] equal opportunities to those likely to be involved in recruitment or other decision making where equal opportunities issues are likely to arise.</w:t>
      </w:r>
    </w:p>
    <w:p w14:paraId="54229A22" w14:textId="7F6DF460" w:rsidR="004920B7" w:rsidRPr="002E1042" w:rsidRDefault="004920B7" w:rsidP="004920B7">
      <w:pPr>
        <w:rPr>
          <w:rFonts w:ascii="Arial" w:hAnsi="Arial" w:cs="Arial"/>
          <w:b/>
          <w:bCs/>
          <w:sz w:val="24"/>
          <w:szCs w:val="24"/>
        </w:rPr>
      </w:pPr>
      <w:r w:rsidRPr="002E1042">
        <w:rPr>
          <w:rFonts w:ascii="Arial" w:hAnsi="Arial" w:cs="Arial"/>
          <w:sz w:val="24"/>
          <w:szCs w:val="24"/>
        </w:rPr>
        <w:t>The council will provide training to/raise awareness of</w:t>
      </w:r>
      <w:r w:rsidR="00367BC3" w:rsidRPr="002E1042">
        <w:rPr>
          <w:rFonts w:ascii="Arial" w:hAnsi="Arial" w:cs="Arial"/>
          <w:sz w:val="24"/>
          <w:szCs w:val="24"/>
        </w:rPr>
        <w:t xml:space="preserve"> </w:t>
      </w:r>
      <w:r w:rsidRPr="002E1042">
        <w:rPr>
          <w:rFonts w:ascii="Arial" w:hAnsi="Arial" w:cs="Arial"/>
          <w:sz w:val="24"/>
          <w:szCs w:val="24"/>
        </w:rPr>
        <w:t xml:space="preserve">all staff engaged to work at the council to help them understand their rights and responsibilities under the dignity at work policy and what they can do to help create a working environment free of bullying and harassment. </w:t>
      </w:r>
    </w:p>
    <w:p w14:paraId="249F41FD" w14:textId="792257F3" w:rsidR="004920B7" w:rsidRPr="002E1042" w:rsidRDefault="004920B7" w:rsidP="004920B7">
      <w:pPr>
        <w:rPr>
          <w:rFonts w:ascii="Arial" w:hAnsi="Arial" w:cs="Arial"/>
          <w:b/>
          <w:bCs/>
          <w:sz w:val="24"/>
          <w:szCs w:val="24"/>
        </w:rPr>
      </w:pPr>
      <w:r w:rsidRPr="002E1042">
        <w:rPr>
          <w:rFonts w:ascii="Arial" w:hAnsi="Arial" w:cs="Arial"/>
          <w:b/>
          <w:bCs/>
          <w:sz w:val="24"/>
          <w:szCs w:val="24"/>
        </w:rPr>
        <w:t>Your responsibilities</w:t>
      </w:r>
      <w:r w:rsidR="00074749" w:rsidRPr="002E1042">
        <w:rPr>
          <w:rStyle w:val="EndnoteReference"/>
          <w:rFonts w:ascii="Arial" w:hAnsi="Arial" w:cs="Arial"/>
          <w:b/>
          <w:bCs/>
          <w:sz w:val="24"/>
          <w:szCs w:val="24"/>
          <w:highlight w:val="yellow"/>
        </w:rPr>
        <w:endnoteReference w:id="8"/>
      </w:r>
    </w:p>
    <w:p w14:paraId="7BB4F810" w14:textId="77777777" w:rsidR="004920B7" w:rsidRPr="002E1042" w:rsidRDefault="004920B7" w:rsidP="004920B7">
      <w:pPr>
        <w:rPr>
          <w:rFonts w:ascii="Arial" w:hAnsi="Arial" w:cs="Arial"/>
          <w:b/>
          <w:bCs/>
          <w:sz w:val="24"/>
          <w:szCs w:val="24"/>
        </w:rPr>
      </w:pPr>
      <w:r w:rsidRPr="002E1042">
        <w:rPr>
          <w:rFonts w:ascii="Arial" w:hAnsi="Arial" w:cs="Arial"/>
          <w:sz w:val="24"/>
          <w:szCs w:val="24"/>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2E1042" w:rsidRDefault="004920B7" w:rsidP="004920B7">
      <w:pPr>
        <w:rPr>
          <w:rFonts w:ascii="Arial" w:hAnsi="Arial" w:cs="Arial"/>
          <w:b/>
          <w:bCs/>
          <w:sz w:val="24"/>
          <w:szCs w:val="24"/>
        </w:rPr>
      </w:pPr>
      <w:r w:rsidRPr="002E1042">
        <w:rPr>
          <w:rFonts w:ascii="Arial" w:hAnsi="Arial" w:cs="Arial"/>
          <w:sz w:val="24"/>
          <w:szCs w:val="24"/>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2BCE74FD" w:rsidR="004920B7" w:rsidRPr="002E1042" w:rsidRDefault="004920B7" w:rsidP="004920B7">
      <w:pPr>
        <w:rPr>
          <w:rFonts w:ascii="Arial" w:hAnsi="Arial" w:cs="Arial"/>
          <w:b/>
          <w:bCs/>
          <w:sz w:val="24"/>
          <w:szCs w:val="24"/>
        </w:rPr>
      </w:pPr>
      <w:r w:rsidRPr="002E1042">
        <w:rPr>
          <w:rFonts w:ascii="Arial" w:hAnsi="Arial" w:cs="Arial"/>
          <w:b/>
          <w:bCs/>
          <w:sz w:val="24"/>
          <w:szCs w:val="24"/>
        </w:rPr>
        <w:t>Grievances</w:t>
      </w:r>
      <w:r w:rsidR="009A4718" w:rsidRPr="002E1042">
        <w:rPr>
          <w:rStyle w:val="EndnoteReference"/>
          <w:rFonts w:ascii="Arial" w:hAnsi="Arial" w:cs="Arial"/>
          <w:b/>
          <w:bCs/>
          <w:sz w:val="24"/>
          <w:szCs w:val="24"/>
          <w:highlight w:val="yellow"/>
        </w:rPr>
        <w:endnoteReference w:id="9"/>
      </w:r>
    </w:p>
    <w:p w14:paraId="338EB23A" w14:textId="77777777" w:rsidR="004920B7" w:rsidRPr="002E1042" w:rsidRDefault="004920B7" w:rsidP="004920B7">
      <w:pPr>
        <w:rPr>
          <w:rFonts w:ascii="Arial" w:hAnsi="Arial" w:cs="Arial"/>
          <w:b/>
          <w:bCs/>
          <w:sz w:val="24"/>
          <w:szCs w:val="24"/>
        </w:rPr>
      </w:pPr>
      <w:r w:rsidRPr="002E1042">
        <w:rPr>
          <w:rFonts w:ascii="Arial" w:hAnsi="Arial" w:cs="Arial"/>
          <w:sz w:val="24"/>
          <w:szCs w:val="24"/>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Pr="002E1042" w:rsidRDefault="004920B7" w:rsidP="004920B7">
      <w:pPr>
        <w:rPr>
          <w:rFonts w:ascii="Arial" w:hAnsi="Arial" w:cs="Arial"/>
          <w:b/>
          <w:bCs/>
          <w:sz w:val="24"/>
          <w:szCs w:val="24"/>
        </w:rPr>
      </w:pPr>
      <w:r w:rsidRPr="002E1042">
        <w:rPr>
          <w:rFonts w:ascii="Arial" w:hAnsi="Arial" w:cs="Arial"/>
          <w:sz w:val="24"/>
          <w:szCs w:val="24"/>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4E3A70AF" w:rsidR="004920B7" w:rsidRPr="002E1042" w:rsidRDefault="004920B7" w:rsidP="004920B7">
      <w:pPr>
        <w:rPr>
          <w:rFonts w:ascii="Arial" w:hAnsi="Arial" w:cs="Arial"/>
          <w:b/>
          <w:bCs/>
          <w:sz w:val="24"/>
          <w:szCs w:val="24"/>
        </w:rPr>
      </w:pPr>
      <w:r w:rsidRPr="002E1042">
        <w:rPr>
          <w:rFonts w:ascii="Arial" w:hAnsi="Arial" w:cs="Arial"/>
          <w:b/>
          <w:bCs/>
          <w:sz w:val="24"/>
          <w:szCs w:val="24"/>
        </w:rPr>
        <w:lastRenderedPageBreak/>
        <w:t>Monitoring and review</w:t>
      </w:r>
      <w:r w:rsidR="00C55246" w:rsidRPr="002E1042">
        <w:rPr>
          <w:rStyle w:val="EndnoteReference"/>
          <w:rFonts w:ascii="Arial" w:hAnsi="Arial" w:cs="Arial"/>
          <w:b/>
          <w:bCs/>
          <w:sz w:val="24"/>
          <w:szCs w:val="24"/>
          <w:highlight w:val="yellow"/>
        </w:rPr>
        <w:endnoteReference w:id="10"/>
      </w:r>
    </w:p>
    <w:p w14:paraId="68E96345" w14:textId="3844FBD7" w:rsidR="004920B7" w:rsidRPr="002E1042" w:rsidRDefault="004920B7" w:rsidP="00367BC3">
      <w:pPr>
        <w:rPr>
          <w:rFonts w:ascii="Arial" w:hAnsi="Arial" w:cs="Arial"/>
          <w:sz w:val="24"/>
          <w:szCs w:val="24"/>
        </w:rPr>
      </w:pPr>
      <w:r w:rsidRPr="002E1042">
        <w:rPr>
          <w:rFonts w:ascii="Arial" w:hAnsi="Arial" w:cs="Arial"/>
          <w:sz w:val="24"/>
          <w:szCs w:val="24"/>
        </w:rPr>
        <w:t xml:space="preserve">This policy will be monitored periodically by the council to judge its effectiveness and will be updated in accordance with changes in the law. </w:t>
      </w:r>
    </w:p>
    <w:p w14:paraId="3949ECB7" w14:textId="19D6EAC8" w:rsidR="0096108B" w:rsidRPr="002E1042" w:rsidRDefault="00DD71A4" w:rsidP="00DD71A4">
      <w:pPr>
        <w:rPr>
          <w:rFonts w:ascii="Arial" w:hAnsi="Arial" w:cs="Arial"/>
          <w:sz w:val="24"/>
          <w:szCs w:val="24"/>
        </w:rPr>
      </w:pPr>
      <w:r w:rsidRPr="002E1042">
        <w:rPr>
          <w:rFonts w:ascii="Arial" w:hAnsi="Arial" w:cs="Arial"/>
          <w:sz w:val="24"/>
          <w:szCs w:val="24"/>
        </w:rPr>
        <w:t>This is a non-contractual procedure which will be reviewed from time to time.</w:t>
      </w:r>
    </w:p>
    <w:p w14:paraId="5E983F03" w14:textId="45F3E94C" w:rsidR="00DD71A4" w:rsidRPr="002E1042" w:rsidRDefault="00DD71A4" w:rsidP="00DD71A4">
      <w:pPr>
        <w:rPr>
          <w:rFonts w:ascii="Arial" w:hAnsi="Arial" w:cs="Arial"/>
          <w:sz w:val="24"/>
          <w:szCs w:val="24"/>
        </w:rPr>
      </w:pPr>
      <w:r w:rsidRPr="002E1042">
        <w:rPr>
          <w:rFonts w:ascii="Arial" w:hAnsi="Arial" w:cs="Arial"/>
          <w:sz w:val="24"/>
          <w:szCs w:val="24"/>
        </w:rPr>
        <w:br/>
      </w:r>
      <w:r w:rsidR="00512179" w:rsidRPr="002E1042">
        <w:rPr>
          <w:rFonts w:ascii="Arial" w:hAnsi="Arial" w:cs="Arial"/>
          <w:sz w:val="24"/>
          <w:szCs w:val="24"/>
        </w:rPr>
        <w:t>Date for next review:</w:t>
      </w:r>
      <w:r w:rsidR="002E0218" w:rsidRPr="002E1042">
        <w:rPr>
          <w:rFonts w:ascii="Arial" w:hAnsi="Arial" w:cs="Arial"/>
          <w:sz w:val="24"/>
          <w:szCs w:val="24"/>
        </w:rPr>
        <w:t xml:space="preserve"> June 2026</w:t>
      </w:r>
    </w:p>
    <w:p w14:paraId="392185F4" w14:textId="77777777" w:rsidR="00DD71A4" w:rsidRPr="002E1042" w:rsidRDefault="00DD71A4" w:rsidP="00DD71A4">
      <w:pPr>
        <w:rPr>
          <w:rFonts w:ascii="Arial" w:hAnsi="Arial" w:cs="Arial"/>
          <w:sz w:val="24"/>
          <w:szCs w:val="24"/>
        </w:rPr>
      </w:pPr>
    </w:p>
    <w:p w14:paraId="6B1D30FB" w14:textId="39803429" w:rsidR="00DD71A4" w:rsidRPr="002E1042" w:rsidRDefault="00DD71A4" w:rsidP="00DD71A4">
      <w:pPr>
        <w:jc w:val="center"/>
        <w:rPr>
          <w:rFonts w:ascii="Arial" w:hAnsi="Arial" w:cs="Arial"/>
          <w:sz w:val="24"/>
          <w:szCs w:val="24"/>
        </w:rPr>
      </w:pPr>
      <w:r w:rsidRPr="002E1042">
        <w:rPr>
          <w:rFonts w:ascii="Arial" w:hAnsi="Arial" w:cs="Arial"/>
          <w:sz w:val="24"/>
          <w:szCs w:val="24"/>
        </w:rPr>
        <w:t>— policy ends here —</w:t>
      </w:r>
    </w:p>
    <w:p w14:paraId="104960F2" w14:textId="77777777" w:rsidR="00C75761" w:rsidRPr="002E1042" w:rsidRDefault="00C75761" w:rsidP="00C267C6">
      <w:pPr>
        <w:rPr>
          <w:rFonts w:ascii="Arial" w:hAnsi="Arial" w:cs="Arial"/>
          <w:sz w:val="24"/>
          <w:szCs w:val="24"/>
        </w:rPr>
      </w:pPr>
    </w:p>
    <w:p w14:paraId="59C55516" w14:textId="77777777" w:rsidR="00D21A18" w:rsidRPr="00AC43E4" w:rsidRDefault="00D21A18" w:rsidP="00C267C6">
      <w:pPr>
        <w:rPr>
          <w:rFonts w:ascii="Arial" w:hAnsi="Arial" w:cs="Arial"/>
        </w:rPr>
      </w:pPr>
    </w:p>
    <w:sectPr w:rsidR="00D21A18"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C99E" w14:textId="77777777" w:rsidR="002C6D20" w:rsidRDefault="002C6D20" w:rsidP="00225AAB">
      <w:r>
        <w:separator/>
      </w:r>
    </w:p>
  </w:endnote>
  <w:endnote w:type="continuationSeparator" w:id="0">
    <w:p w14:paraId="28FC3D8C" w14:textId="77777777" w:rsidR="002C6D20" w:rsidRDefault="002C6D20" w:rsidP="00225AAB">
      <w:r>
        <w:continuationSeparator/>
      </w:r>
    </w:p>
  </w:endnote>
  <w:endnote w:id="1">
    <w:p w14:paraId="7E88D26B" w14:textId="39844838" w:rsidR="008521A2" w:rsidRPr="002F1013" w:rsidRDefault="008521A2">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w:t>
      </w:r>
      <w:r w:rsidR="00C1218D" w:rsidRPr="002F1013">
        <w:rPr>
          <w:rFonts w:ascii="Arial" w:hAnsi="Arial" w:cs="Arial"/>
          <w:sz w:val="24"/>
          <w:szCs w:val="24"/>
        </w:rPr>
        <w:t>The policy begins with a declaration of the parish council’s commitment to fulfilling its responsibilities under the Equality Act 2010.</w:t>
      </w:r>
    </w:p>
  </w:endnote>
  <w:endnote w:id="2">
    <w:p w14:paraId="4ABDC907" w14:textId="76E3EAE8" w:rsidR="00C910A6" w:rsidRPr="002F1013" w:rsidRDefault="00C910A6" w:rsidP="0001685F">
      <w:pPr>
        <w:pStyle w:val="NormalWeb"/>
        <w:rPr>
          <w:rFonts w:ascii="Arial" w:hAnsi="Arial" w:cs="Arial"/>
        </w:rPr>
      </w:pPr>
      <w:r w:rsidRPr="002F1013">
        <w:rPr>
          <w:rStyle w:val="EndnoteReference"/>
          <w:rFonts w:ascii="Arial" w:hAnsi="Arial" w:cs="Arial"/>
        </w:rPr>
        <w:endnoteRef/>
      </w:r>
      <w:r w:rsidRPr="002F1013">
        <w:rPr>
          <w:rFonts w:ascii="Arial" w:hAnsi="Arial" w:cs="Arial"/>
        </w:rPr>
        <w:t xml:space="preserve"> </w:t>
      </w:r>
      <w:r w:rsidR="00A24173" w:rsidRPr="002F1013">
        <w:rPr>
          <w:rFonts w:ascii="Arial" w:hAnsi="Arial" w:cs="Arial"/>
        </w:rPr>
        <w:t>This section</w:t>
      </w:r>
      <w:r w:rsidR="0001685F" w:rsidRPr="002F1013">
        <w:rPr>
          <w:rFonts w:ascii="Arial" w:hAnsi="Arial" w:cs="Arial"/>
        </w:rPr>
        <w:t xml:space="preserve"> is fully aligned with the Equality Act 2010, recognising and addressing all protected characteristics such as age, disability, race, sex, sexual orientation, and religion or belief. It clearly prohibits direct and indirect discrimination, harassment, and victimisation, in line with the definitions set out in the </w:t>
      </w:r>
      <w:proofErr w:type="gramStart"/>
      <w:r w:rsidR="0001685F" w:rsidRPr="002F1013">
        <w:rPr>
          <w:rFonts w:ascii="Arial" w:hAnsi="Arial" w:cs="Arial"/>
        </w:rPr>
        <w:t>Act, and</w:t>
      </w:r>
      <w:proofErr w:type="gramEnd"/>
      <w:r w:rsidR="0001685F" w:rsidRPr="002F1013">
        <w:rPr>
          <w:rFonts w:ascii="Arial" w:hAnsi="Arial" w:cs="Arial"/>
        </w:rPr>
        <w:t xml:space="preserve"> affirms the Council’s duty to make reasonable adjustments to avoid disadvantaging disabled individuals. </w:t>
      </w:r>
    </w:p>
  </w:endnote>
  <w:endnote w:id="3">
    <w:p w14:paraId="74CFB7D8" w14:textId="41138E90" w:rsidR="003330DA" w:rsidRPr="002F1013" w:rsidRDefault="003330DA" w:rsidP="003330DA">
      <w:pPr>
        <w:pStyle w:val="NormalWeb"/>
        <w:rPr>
          <w:rFonts w:ascii="Arial" w:hAnsi="Arial" w:cs="Arial"/>
        </w:rPr>
      </w:pPr>
      <w:r w:rsidRPr="002F1013">
        <w:rPr>
          <w:rStyle w:val="EndnoteReference"/>
          <w:rFonts w:ascii="Arial" w:hAnsi="Arial" w:cs="Arial"/>
        </w:rPr>
        <w:endnoteRef/>
      </w:r>
      <w:r w:rsidRPr="002F1013">
        <w:rPr>
          <w:rFonts w:ascii="Arial" w:hAnsi="Arial" w:cs="Arial"/>
        </w:rPr>
        <w:t xml:space="preserve"> This section of the Council’s Equality and Diversity Policy reflects key provisions of the </w:t>
      </w:r>
      <w:r w:rsidRPr="002F1013">
        <w:rPr>
          <w:rStyle w:val="Strong"/>
          <w:rFonts w:ascii="Arial" w:hAnsi="Arial" w:cs="Arial"/>
          <w:b w:val="0"/>
          <w:bCs w:val="0"/>
        </w:rPr>
        <w:t>Equality Act 2010</w:t>
      </w:r>
      <w:r w:rsidRPr="002F1013">
        <w:rPr>
          <w:rFonts w:ascii="Arial" w:hAnsi="Arial" w:cs="Arial"/>
        </w:rPr>
        <w:t xml:space="preserve">, including definitions of direct and indirect discrimination (Sections 13 and 19), harassment (Section 26), victimisation (Section 27), and the duty to make reasonable adjustments for disabled people (Sections 20–21). It also recognises associative and perceptive discrimination, and the lawful use of occupational requirements under </w:t>
      </w:r>
      <w:r w:rsidRPr="002F1013">
        <w:rPr>
          <w:rStyle w:val="Strong"/>
          <w:rFonts w:ascii="Arial" w:hAnsi="Arial" w:cs="Arial"/>
          <w:b w:val="0"/>
          <w:bCs w:val="0"/>
        </w:rPr>
        <w:t>Schedule 9</w:t>
      </w:r>
      <w:r w:rsidRPr="002F1013">
        <w:rPr>
          <w:rFonts w:ascii="Arial" w:hAnsi="Arial" w:cs="Arial"/>
          <w:b/>
          <w:bCs/>
        </w:rPr>
        <w:t>.</w:t>
      </w:r>
      <w:r w:rsidR="00C11128" w:rsidRPr="002F1013">
        <w:rPr>
          <w:rFonts w:ascii="Arial" w:hAnsi="Arial" w:cs="Arial"/>
        </w:rPr>
        <w:t xml:space="preserve"> </w:t>
      </w:r>
      <w:r w:rsidRPr="002F1013">
        <w:rPr>
          <w:rFonts w:ascii="Arial" w:hAnsi="Arial" w:cs="Arial"/>
        </w:rPr>
        <w:t xml:space="preserve">By including these terms, the policy helps ensure that councillors and employees understand their legal responsibilities and supports compliance with the </w:t>
      </w:r>
      <w:r w:rsidRPr="002F1013">
        <w:rPr>
          <w:rStyle w:val="Strong"/>
          <w:rFonts w:ascii="Arial" w:hAnsi="Arial" w:cs="Arial"/>
          <w:b w:val="0"/>
          <w:bCs w:val="0"/>
        </w:rPr>
        <w:t>public sector equality duty</w:t>
      </w:r>
      <w:r w:rsidRPr="002F1013">
        <w:rPr>
          <w:rFonts w:ascii="Arial" w:hAnsi="Arial" w:cs="Arial"/>
        </w:rPr>
        <w:t xml:space="preserve"> under </w:t>
      </w:r>
      <w:r w:rsidRPr="002F1013">
        <w:rPr>
          <w:rStyle w:val="Strong"/>
          <w:rFonts w:ascii="Arial" w:hAnsi="Arial" w:cs="Arial"/>
          <w:b w:val="0"/>
          <w:bCs w:val="0"/>
        </w:rPr>
        <w:t>Section 149</w:t>
      </w:r>
      <w:r w:rsidRPr="002F1013">
        <w:rPr>
          <w:rFonts w:ascii="Arial" w:hAnsi="Arial" w:cs="Arial"/>
          <w:b/>
          <w:bCs/>
        </w:rPr>
        <w:t>,</w:t>
      </w:r>
      <w:r w:rsidRPr="002F1013">
        <w:rPr>
          <w:rFonts w:ascii="Arial" w:hAnsi="Arial" w:cs="Arial"/>
        </w:rPr>
        <w:t xml:space="preserve"> promoting fairness, inclusion, and accountability.</w:t>
      </w:r>
    </w:p>
    <w:p w14:paraId="221B0B8F" w14:textId="5FCCDCD1" w:rsidR="003330DA" w:rsidRPr="002F1013" w:rsidRDefault="003330DA">
      <w:pPr>
        <w:pStyle w:val="EndnoteText"/>
        <w:rPr>
          <w:rFonts w:ascii="Arial" w:hAnsi="Arial" w:cs="Arial"/>
          <w:sz w:val="24"/>
          <w:szCs w:val="24"/>
        </w:rPr>
      </w:pPr>
    </w:p>
  </w:endnote>
  <w:endnote w:id="4">
    <w:p w14:paraId="3F737F01" w14:textId="3285E950" w:rsidR="0095278B" w:rsidRPr="002F1013" w:rsidRDefault="0095278B">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This section complies with the </w:t>
      </w:r>
      <w:r w:rsidRPr="002F1013">
        <w:rPr>
          <w:rStyle w:val="Strong"/>
          <w:rFonts w:ascii="Arial" w:hAnsi="Arial" w:cs="Arial"/>
          <w:b w:val="0"/>
          <w:bCs w:val="0"/>
          <w:sz w:val="24"/>
          <w:szCs w:val="24"/>
        </w:rPr>
        <w:t>Equality Act 2010</w:t>
      </w:r>
      <w:r w:rsidRPr="002F1013">
        <w:rPr>
          <w:rFonts w:ascii="Arial" w:hAnsi="Arial" w:cs="Arial"/>
          <w:sz w:val="24"/>
          <w:szCs w:val="24"/>
        </w:rPr>
        <w:t xml:space="preserve"> by ensuring fair and non-discriminatory employment practices in recruitment, promotion, pay, and working conditions, in line with Sections 19, 20–21, and 39. It supports reasonable adjustments for disabled staff and addresses indirect discrimination. Monitoring practices align with the </w:t>
      </w:r>
      <w:r w:rsidRPr="002F1013">
        <w:rPr>
          <w:rStyle w:val="Strong"/>
          <w:rFonts w:ascii="Arial" w:hAnsi="Arial" w:cs="Arial"/>
          <w:b w:val="0"/>
          <w:bCs w:val="0"/>
          <w:sz w:val="24"/>
          <w:szCs w:val="24"/>
        </w:rPr>
        <w:t>Data Protection Act 2018</w:t>
      </w:r>
      <w:r w:rsidRPr="002F1013">
        <w:rPr>
          <w:rFonts w:ascii="Arial" w:hAnsi="Arial" w:cs="Arial"/>
          <w:b/>
          <w:bCs/>
          <w:sz w:val="24"/>
          <w:szCs w:val="24"/>
        </w:rPr>
        <w:t>,</w:t>
      </w:r>
      <w:r w:rsidRPr="002F1013">
        <w:rPr>
          <w:rFonts w:ascii="Arial" w:hAnsi="Arial" w:cs="Arial"/>
          <w:sz w:val="24"/>
          <w:szCs w:val="24"/>
        </w:rPr>
        <w:t xml:space="preserve"> and the policy helps fulfil the Council’s </w:t>
      </w:r>
      <w:r w:rsidRPr="002F1013">
        <w:rPr>
          <w:rStyle w:val="Strong"/>
          <w:rFonts w:ascii="Arial" w:hAnsi="Arial" w:cs="Arial"/>
          <w:b w:val="0"/>
          <w:bCs w:val="0"/>
          <w:sz w:val="24"/>
          <w:szCs w:val="24"/>
        </w:rPr>
        <w:t>public sector equality duty</w:t>
      </w:r>
      <w:r w:rsidRPr="002F1013">
        <w:rPr>
          <w:rFonts w:ascii="Arial" w:hAnsi="Arial" w:cs="Arial"/>
          <w:sz w:val="24"/>
          <w:szCs w:val="24"/>
        </w:rPr>
        <w:t xml:space="preserve"> under Section 149.</w:t>
      </w:r>
    </w:p>
    <w:p w14:paraId="42B4AEE6" w14:textId="77777777" w:rsidR="00541C5A" w:rsidRPr="002F1013" w:rsidRDefault="00541C5A">
      <w:pPr>
        <w:pStyle w:val="EndnoteText"/>
        <w:rPr>
          <w:rFonts w:ascii="Arial" w:hAnsi="Arial" w:cs="Arial"/>
          <w:sz w:val="24"/>
          <w:szCs w:val="24"/>
        </w:rPr>
      </w:pPr>
    </w:p>
    <w:p w14:paraId="16E18829" w14:textId="77777777" w:rsidR="00541C5A" w:rsidRPr="002F1013" w:rsidRDefault="00541C5A">
      <w:pPr>
        <w:pStyle w:val="EndnoteText"/>
        <w:rPr>
          <w:rFonts w:ascii="Arial" w:hAnsi="Arial" w:cs="Arial"/>
          <w:sz w:val="24"/>
          <w:szCs w:val="24"/>
        </w:rPr>
      </w:pPr>
    </w:p>
  </w:endnote>
  <w:endnote w:id="5">
    <w:p w14:paraId="75466EBE" w14:textId="655B228E" w:rsidR="00113BD7" w:rsidRPr="002F1013" w:rsidRDefault="00113BD7">
      <w:pPr>
        <w:pStyle w:val="EndnoteText"/>
        <w:rPr>
          <w:rFonts w:ascii="Arial" w:hAnsi="Arial" w:cs="Arial"/>
          <w:b/>
          <w:bCs/>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Having a separate dignity at work policy ensures there’s a clear process for dealing with issues, helping to create a respectful workplace and supporting the Council’s wider equality duty under </w:t>
      </w:r>
      <w:r w:rsidRPr="002F1013">
        <w:rPr>
          <w:rStyle w:val="Strong"/>
          <w:rFonts w:ascii="Arial" w:hAnsi="Arial" w:cs="Arial"/>
          <w:b w:val="0"/>
          <w:bCs w:val="0"/>
          <w:sz w:val="24"/>
          <w:szCs w:val="24"/>
        </w:rPr>
        <w:t>Section 149</w:t>
      </w:r>
      <w:r w:rsidRPr="002F1013">
        <w:rPr>
          <w:rFonts w:ascii="Arial" w:hAnsi="Arial" w:cs="Arial"/>
          <w:b/>
          <w:bCs/>
          <w:sz w:val="24"/>
          <w:szCs w:val="24"/>
        </w:rPr>
        <w:t>.</w:t>
      </w:r>
    </w:p>
    <w:p w14:paraId="172C45D7" w14:textId="77777777" w:rsidR="00B511B9" w:rsidRPr="002F1013" w:rsidRDefault="00B511B9">
      <w:pPr>
        <w:pStyle w:val="EndnoteText"/>
        <w:rPr>
          <w:rFonts w:ascii="Arial" w:hAnsi="Arial" w:cs="Arial"/>
          <w:sz w:val="24"/>
          <w:szCs w:val="24"/>
        </w:rPr>
      </w:pPr>
    </w:p>
  </w:endnote>
  <w:endnote w:id="6">
    <w:p w14:paraId="166FFCBE" w14:textId="558FEA7A" w:rsidR="00F13649" w:rsidRPr="002F1013" w:rsidRDefault="00F13649">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This section ensures the Council does not unlawfully discriminate against members of the public using its services. It also aligns with the duty to prevent harassment by third parties, supporting a safe and inclusive environment for both staff and service users. </w:t>
      </w:r>
    </w:p>
    <w:p w14:paraId="4165A843" w14:textId="77777777" w:rsidR="00B511B9" w:rsidRPr="002F1013" w:rsidRDefault="00B511B9">
      <w:pPr>
        <w:pStyle w:val="EndnoteText"/>
        <w:rPr>
          <w:rFonts w:ascii="Arial" w:hAnsi="Arial" w:cs="Arial"/>
          <w:sz w:val="24"/>
          <w:szCs w:val="24"/>
        </w:rPr>
      </w:pPr>
    </w:p>
  </w:endnote>
  <w:endnote w:id="7">
    <w:p w14:paraId="7EC67F5F" w14:textId="5ACE8F6B" w:rsidR="007942F7" w:rsidRPr="002F1013" w:rsidRDefault="007942F7">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This section supports the Council’s responsibilities under the </w:t>
      </w:r>
      <w:r w:rsidRPr="002F1013">
        <w:rPr>
          <w:rStyle w:val="Strong"/>
          <w:rFonts w:ascii="Arial" w:hAnsi="Arial" w:cs="Arial"/>
          <w:b w:val="0"/>
          <w:bCs w:val="0"/>
          <w:sz w:val="24"/>
          <w:szCs w:val="24"/>
        </w:rPr>
        <w:t>Equality Act 2010</w:t>
      </w:r>
      <w:r w:rsidRPr="002F1013">
        <w:rPr>
          <w:rFonts w:ascii="Arial" w:hAnsi="Arial" w:cs="Arial"/>
          <w:sz w:val="24"/>
          <w:szCs w:val="24"/>
        </w:rPr>
        <w:t xml:space="preserve"> by helping staff understand how to make fair decisions, especially in recruitment and other areas where equality matters. It also helps create a positive workplace by raising awareness of the Council’s dignity at work policy and showing staff how to recognise and deal with bullying or harassment. This approach helps the Council meet its duty to promote equality and respect under </w:t>
      </w:r>
      <w:r w:rsidRPr="002F1013">
        <w:rPr>
          <w:rStyle w:val="Strong"/>
          <w:rFonts w:ascii="Arial" w:hAnsi="Arial" w:cs="Arial"/>
          <w:b w:val="0"/>
          <w:bCs w:val="0"/>
          <w:sz w:val="24"/>
          <w:szCs w:val="24"/>
        </w:rPr>
        <w:t>Section 149</w:t>
      </w:r>
      <w:r w:rsidRPr="002F1013">
        <w:rPr>
          <w:rFonts w:ascii="Arial" w:hAnsi="Arial" w:cs="Arial"/>
          <w:sz w:val="24"/>
          <w:szCs w:val="24"/>
        </w:rPr>
        <w:t xml:space="preserve"> of the Act.</w:t>
      </w:r>
    </w:p>
    <w:p w14:paraId="6A3968D2" w14:textId="77777777" w:rsidR="00074749" w:rsidRPr="002F1013" w:rsidRDefault="00074749">
      <w:pPr>
        <w:pStyle w:val="EndnoteText"/>
        <w:rPr>
          <w:rFonts w:ascii="Arial" w:hAnsi="Arial" w:cs="Arial"/>
          <w:sz w:val="24"/>
          <w:szCs w:val="24"/>
        </w:rPr>
      </w:pPr>
    </w:p>
  </w:endnote>
  <w:endnote w:id="8">
    <w:p w14:paraId="3594FD2A" w14:textId="12FD9D4F" w:rsidR="00074749" w:rsidRPr="002F1013" w:rsidRDefault="00074749">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This section supports the </w:t>
      </w:r>
      <w:r w:rsidRPr="002F1013">
        <w:rPr>
          <w:rStyle w:val="Strong"/>
          <w:rFonts w:ascii="Arial" w:hAnsi="Arial" w:cs="Arial"/>
          <w:b w:val="0"/>
          <w:bCs w:val="0"/>
          <w:sz w:val="24"/>
          <w:szCs w:val="24"/>
        </w:rPr>
        <w:t>Equality Act 2010</w:t>
      </w:r>
      <w:r w:rsidRPr="002F1013">
        <w:rPr>
          <w:rFonts w:ascii="Arial" w:hAnsi="Arial" w:cs="Arial"/>
          <w:sz w:val="24"/>
          <w:szCs w:val="24"/>
        </w:rPr>
        <w:t xml:space="preserve"> by making it clear that all employees have a role in helping the Council meet its equality commitments and avoid unlawful discrimination. Under </w:t>
      </w:r>
      <w:r w:rsidRPr="002F1013">
        <w:rPr>
          <w:rStyle w:val="Strong"/>
          <w:rFonts w:ascii="Arial" w:hAnsi="Arial" w:cs="Arial"/>
          <w:b w:val="0"/>
          <w:bCs w:val="0"/>
          <w:sz w:val="24"/>
          <w:szCs w:val="24"/>
        </w:rPr>
        <w:t>Sections 110–112</w:t>
      </w:r>
      <w:r w:rsidRPr="002F1013">
        <w:rPr>
          <w:rFonts w:ascii="Arial" w:hAnsi="Arial" w:cs="Arial"/>
          <w:b/>
          <w:bCs/>
          <w:sz w:val="24"/>
          <w:szCs w:val="24"/>
        </w:rPr>
        <w:t>,</w:t>
      </w:r>
      <w:r w:rsidRPr="002F1013">
        <w:rPr>
          <w:rFonts w:ascii="Arial" w:hAnsi="Arial" w:cs="Arial"/>
          <w:sz w:val="24"/>
          <w:szCs w:val="24"/>
        </w:rPr>
        <w:t xml:space="preserve"> employees can be held personally responsible for discrimination or harassment, not just the Council. Serious harassment </w:t>
      </w:r>
      <w:r w:rsidR="00793FE0" w:rsidRPr="002F1013">
        <w:rPr>
          <w:rFonts w:ascii="Arial" w:hAnsi="Arial" w:cs="Arial"/>
          <w:sz w:val="24"/>
          <w:szCs w:val="24"/>
        </w:rPr>
        <w:t>can</w:t>
      </w:r>
      <w:r w:rsidRPr="002F1013">
        <w:rPr>
          <w:rFonts w:ascii="Arial" w:hAnsi="Arial" w:cs="Arial"/>
          <w:sz w:val="24"/>
          <w:szCs w:val="24"/>
        </w:rPr>
        <w:t xml:space="preserve"> be treated as a criminal offence under </w:t>
      </w:r>
      <w:r w:rsidRPr="002F1013">
        <w:rPr>
          <w:rStyle w:val="Strong"/>
          <w:rFonts w:ascii="Arial" w:hAnsi="Arial" w:cs="Arial"/>
          <w:b w:val="0"/>
          <w:bCs w:val="0"/>
          <w:sz w:val="24"/>
          <w:szCs w:val="24"/>
        </w:rPr>
        <w:t>Section 74</w:t>
      </w:r>
      <w:r w:rsidRPr="002F1013">
        <w:rPr>
          <w:rFonts w:ascii="Arial" w:hAnsi="Arial" w:cs="Arial"/>
          <w:sz w:val="24"/>
          <w:szCs w:val="24"/>
        </w:rPr>
        <w:t xml:space="preserve">. The wording also shows that any form of discrimination, bullying, or victimisation could lead to disciplinary action, including dismissal, helping the Council meet its legal duty under </w:t>
      </w:r>
      <w:r w:rsidRPr="002F1013">
        <w:rPr>
          <w:rStyle w:val="Strong"/>
          <w:rFonts w:ascii="Arial" w:hAnsi="Arial" w:cs="Arial"/>
          <w:b w:val="0"/>
          <w:bCs w:val="0"/>
          <w:sz w:val="24"/>
          <w:szCs w:val="24"/>
        </w:rPr>
        <w:t>Section 149</w:t>
      </w:r>
      <w:r w:rsidRPr="002F1013">
        <w:rPr>
          <w:rFonts w:ascii="Arial" w:hAnsi="Arial" w:cs="Arial"/>
          <w:sz w:val="24"/>
          <w:szCs w:val="24"/>
        </w:rPr>
        <w:t xml:space="preserve"> to treat people fairly and prevent unlawful behaviour at work.</w:t>
      </w:r>
    </w:p>
    <w:p w14:paraId="0FE8D523" w14:textId="77777777" w:rsidR="009A4718" w:rsidRPr="002F1013" w:rsidRDefault="009A4718">
      <w:pPr>
        <w:pStyle w:val="EndnoteText"/>
        <w:rPr>
          <w:rFonts w:ascii="Arial" w:hAnsi="Arial" w:cs="Arial"/>
          <w:sz w:val="24"/>
          <w:szCs w:val="24"/>
        </w:rPr>
      </w:pPr>
    </w:p>
  </w:endnote>
  <w:endnote w:id="9">
    <w:p w14:paraId="2A6AD2FF" w14:textId="32892141" w:rsidR="009A4718" w:rsidRPr="002F1013" w:rsidRDefault="009A4718">
      <w:pPr>
        <w:pStyle w:val="EndnoteText"/>
        <w:rPr>
          <w:rFonts w:ascii="Arial" w:hAnsi="Arial" w:cs="Arial"/>
          <w:sz w:val="24"/>
          <w:szCs w:val="24"/>
        </w:rPr>
      </w:pPr>
      <w:r w:rsidRPr="002F1013">
        <w:rPr>
          <w:rStyle w:val="EndnoteReference"/>
          <w:rFonts w:ascii="Arial" w:hAnsi="Arial" w:cs="Arial"/>
          <w:sz w:val="24"/>
          <w:szCs w:val="24"/>
        </w:rPr>
        <w:endnoteRef/>
      </w:r>
      <w:r w:rsidRPr="002F1013">
        <w:rPr>
          <w:rFonts w:ascii="Arial" w:hAnsi="Arial" w:cs="Arial"/>
          <w:sz w:val="24"/>
          <w:szCs w:val="24"/>
        </w:rPr>
        <w:t xml:space="preserve"> This section follows the </w:t>
      </w:r>
      <w:r w:rsidRPr="002F1013">
        <w:rPr>
          <w:rStyle w:val="Strong"/>
          <w:rFonts w:ascii="Arial" w:hAnsi="Arial" w:cs="Arial"/>
          <w:b w:val="0"/>
          <w:bCs w:val="0"/>
          <w:sz w:val="24"/>
          <w:szCs w:val="24"/>
        </w:rPr>
        <w:t>Equality Act 2010</w:t>
      </w:r>
      <w:r w:rsidRPr="002F1013">
        <w:rPr>
          <w:rFonts w:ascii="Arial" w:hAnsi="Arial" w:cs="Arial"/>
          <w:sz w:val="24"/>
          <w:szCs w:val="24"/>
        </w:rPr>
        <w:t xml:space="preserve"> by giving employees a clear way to raise concerns if they feel they’ve been treated unfairly or discriminated against. It supports the Council’s duty under </w:t>
      </w:r>
      <w:r w:rsidRPr="002F1013">
        <w:rPr>
          <w:rStyle w:val="Strong"/>
          <w:rFonts w:ascii="Arial" w:hAnsi="Arial" w:cs="Arial"/>
          <w:b w:val="0"/>
          <w:bCs w:val="0"/>
          <w:sz w:val="24"/>
          <w:szCs w:val="24"/>
        </w:rPr>
        <w:t>Section 149</w:t>
      </w:r>
      <w:r w:rsidRPr="002F1013">
        <w:rPr>
          <w:rFonts w:ascii="Arial" w:hAnsi="Arial" w:cs="Arial"/>
          <w:sz w:val="24"/>
          <w:szCs w:val="24"/>
        </w:rPr>
        <w:t xml:space="preserve"> to deal with discrimination fairly and seriously. If the issue involves bullying or harassment, it’s handled through the Council’s dignity at work policy, which helps meet the Council’s responsibilities under </w:t>
      </w:r>
      <w:r w:rsidRPr="002F1013">
        <w:rPr>
          <w:rStyle w:val="Strong"/>
          <w:rFonts w:ascii="Arial" w:hAnsi="Arial" w:cs="Arial"/>
          <w:b w:val="0"/>
          <w:bCs w:val="0"/>
          <w:sz w:val="24"/>
          <w:szCs w:val="24"/>
        </w:rPr>
        <w:t>Section 26</w:t>
      </w:r>
      <w:r w:rsidRPr="002F1013">
        <w:rPr>
          <w:rFonts w:ascii="Arial" w:hAnsi="Arial" w:cs="Arial"/>
          <w:sz w:val="24"/>
          <w:szCs w:val="24"/>
        </w:rPr>
        <w:t xml:space="preserve"> of the Act. It also protects staff from being treated unfairly for raising a grievance, in line with </w:t>
      </w:r>
      <w:r w:rsidRPr="002F1013">
        <w:rPr>
          <w:rStyle w:val="Strong"/>
          <w:rFonts w:ascii="Arial" w:hAnsi="Arial" w:cs="Arial"/>
          <w:b w:val="0"/>
          <w:bCs w:val="0"/>
          <w:sz w:val="24"/>
          <w:szCs w:val="24"/>
        </w:rPr>
        <w:t>Section 27</w:t>
      </w:r>
      <w:r w:rsidRPr="002F1013">
        <w:rPr>
          <w:rFonts w:ascii="Arial" w:hAnsi="Arial" w:cs="Arial"/>
          <w:b/>
          <w:bCs/>
          <w:sz w:val="24"/>
          <w:szCs w:val="24"/>
        </w:rPr>
        <w:t>,</w:t>
      </w:r>
      <w:r w:rsidRPr="002F1013">
        <w:rPr>
          <w:rFonts w:ascii="Arial" w:hAnsi="Arial" w:cs="Arial"/>
          <w:sz w:val="24"/>
          <w:szCs w:val="24"/>
        </w:rPr>
        <w:t xml:space="preserve"> unless the complaint is both false and made in bad faith.</w:t>
      </w:r>
    </w:p>
    <w:p w14:paraId="1B40CE91" w14:textId="77777777" w:rsidR="00D21A18" w:rsidRPr="002F1013" w:rsidRDefault="00D21A18">
      <w:pPr>
        <w:pStyle w:val="EndnoteText"/>
        <w:rPr>
          <w:rFonts w:ascii="Arial" w:hAnsi="Arial" w:cs="Arial"/>
          <w:sz w:val="24"/>
          <w:szCs w:val="24"/>
        </w:rPr>
      </w:pPr>
    </w:p>
  </w:endnote>
  <w:endnote w:id="10">
    <w:p w14:paraId="3301C390" w14:textId="3AEB207B" w:rsidR="00C55246" w:rsidRDefault="00C55246">
      <w:pPr>
        <w:pStyle w:val="EndnoteText"/>
      </w:pPr>
      <w:r w:rsidRPr="002F1013">
        <w:rPr>
          <w:rStyle w:val="EndnoteReference"/>
          <w:rFonts w:ascii="Arial" w:hAnsi="Arial" w:cs="Arial"/>
          <w:sz w:val="24"/>
          <w:szCs w:val="24"/>
        </w:rPr>
        <w:endnoteRef/>
      </w:r>
      <w:r w:rsidRPr="002F1013">
        <w:rPr>
          <w:rFonts w:ascii="Arial" w:hAnsi="Arial" w:cs="Arial"/>
          <w:sz w:val="24"/>
          <w:szCs w:val="24"/>
        </w:rPr>
        <w:t xml:space="preserve"> </w:t>
      </w:r>
      <w:r w:rsidR="00151F08" w:rsidRPr="002F1013">
        <w:rPr>
          <w:rFonts w:ascii="Arial" w:hAnsi="Arial" w:cs="Arial"/>
          <w:sz w:val="24"/>
          <w:szCs w:val="24"/>
        </w:rPr>
        <w:t>It is vital that this policy is reviewed at least annually by the full Parish Council</w:t>
      </w:r>
      <w:r w:rsidR="00370F33" w:rsidRPr="002F1013">
        <w:rPr>
          <w:rFonts w:ascii="Arial" w:hAnsi="Arial" w:cs="Arial"/>
          <w:sz w:val="24"/>
          <w:szCs w:val="24"/>
        </w:rPr>
        <w:t xml:space="preserve"> due the regular </w:t>
      </w:r>
      <w:r w:rsidR="000163B9" w:rsidRPr="002F1013">
        <w:rPr>
          <w:rFonts w:ascii="Arial" w:hAnsi="Arial" w:cs="Arial"/>
          <w:sz w:val="24"/>
          <w:szCs w:val="24"/>
        </w:rPr>
        <w:t>updates</w:t>
      </w:r>
      <w:r w:rsidR="00370F33" w:rsidRPr="002F1013">
        <w:rPr>
          <w:rFonts w:ascii="Arial" w:hAnsi="Arial" w:cs="Arial"/>
          <w:sz w:val="24"/>
          <w:szCs w:val="24"/>
        </w:rPr>
        <w:t xml:space="preserve"> in equality legislation</w:t>
      </w:r>
      <w:r w:rsidR="001A64E4" w:rsidRPr="002F1013">
        <w:rPr>
          <w:rFonts w:ascii="Arial" w:hAnsi="Arial" w:cs="Arial"/>
          <w:sz w:val="24"/>
          <w:szCs w:val="24"/>
        </w:rPr>
        <w:t>. It is important that the council are kept up to date and aware of any changes via the clerk</w:t>
      </w:r>
      <w:r w:rsidR="00FD2FC9" w:rsidRPr="002F1013">
        <w:rPr>
          <w:rFonts w:ascii="Arial" w:hAnsi="Arial" w:cs="Arial"/>
          <w:sz w:val="24"/>
          <w:szCs w:val="24"/>
        </w:rPr>
        <w:t xml:space="preserve">, who will, themselves, be kept up to date through LALC and other sources.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B6438" w14:textId="77777777" w:rsidR="002C6D20" w:rsidRDefault="002C6D20" w:rsidP="00225AAB">
      <w:r>
        <w:separator/>
      </w:r>
    </w:p>
  </w:footnote>
  <w:footnote w:type="continuationSeparator" w:id="0">
    <w:p w14:paraId="4469BE49" w14:textId="77777777" w:rsidR="002C6D20" w:rsidRDefault="002C6D20"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B062" w14:textId="77777777" w:rsidR="00DD2589" w:rsidRPr="006C581C" w:rsidRDefault="00DD2589" w:rsidP="00DD2589">
    <w:pPr>
      <w:rPr>
        <w:rFonts w:ascii="Arial" w:hAnsi="Arial" w:cs="Arial"/>
      </w:rPr>
    </w:pPr>
    <w:r>
      <w:rPr>
        <w:rFonts w:ascii="Arial" w:hAnsi="Arial" w:cs="Arial"/>
      </w:rPr>
      <w:t>11</w:t>
    </w:r>
    <w:r w:rsidRPr="006C581C">
      <w:rPr>
        <w:rFonts w:ascii="Arial" w:hAnsi="Arial" w:cs="Arial"/>
      </w:rPr>
      <w:t>/0</w:t>
    </w:r>
    <w:r>
      <w:rPr>
        <w:rFonts w:ascii="Arial" w:hAnsi="Arial" w:cs="Arial"/>
      </w:rPr>
      <w:t>7</w:t>
    </w:r>
    <w:r w:rsidRPr="006C581C">
      <w:rPr>
        <w:rFonts w:ascii="Arial" w:hAnsi="Arial" w:cs="Arial"/>
      </w:rPr>
      <w:t>/2025</w:t>
    </w:r>
    <w:r w:rsidRPr="006C581C">
      <w:rPr>
        <w:rFonts w:ascii="Arial" w:hAnsi="Arial" w:cs="Arial"/>
      </w:rPr>
      <w:tab/>
    </w:r>
    <w:r w:rsidRPr="006C581C">
      <w:rPr>
        <w:rFonts w:ascii="Arial" w:hAnsi="Arial" w:cs="Arial"/>
      </w:rPr>
      <w:tab/>
      <w:t>Learner Number:</w:t>
    </w:r>
    <w:r w:rsidRPr="006C581C">
      <w:rPr>
        <w:rFonts w:ascii="Arial" w:hAnsi="Arial" w:cs="Arial"/>
      </w:rPr>
      <w:tab/>
    </w:r>
    <w:r w:rsidRPr="006C581C">
      <w:rPr>
        <w:rFonts w:ascii="Arial" w:hAnsi="Arial" w:cs="Arial"/>
      </w:rPr>
      <w:tab/>
      <w:t>Name: Emma Lorraine Thorpe</w:t>
    </w:r>
  </w:p>
  <w:p w14:paraId="67094284" w14:textId="77777777" w:rsidR="00DD2589" w:rsidRPr="006C581C" w:rsidRDefault="00DD2589" w:rsidP="00DD2589">
    <w:pPr>
      <w:rPr>
        <w:rFonts w:ascii="Arial" w:hAnsi="Arial" w:cs="Arial"/>
        <w:b/>
        <w:bCs/>
      </w:rPr>
    </w:pPr>
    <w:r w:rsidRPr="006C581C">
      <w:rPr>
        <w:rFonts w:ascii="Arial" w:hAnsi="Arial" w:cs="Arial"/>
        <w:b/>
        <w:bCs/>
      </w:rPr>
      <w:t xml:space="preserve">Named Council: </w:t>
    </w:r>
    <w:r w:rsidRPr="006C581C">
      <w:rPr>
        <w:rFonts w:ascii="Arial" w:hAnsi="Arial" w:cs="Arial"/>
      </w:rPr>
      <w:t>Branston and Mere Parish Council</w:t>
    </w:r>
  </w:p>
  <w:p w14:paraId="6949B485" w14:textId="77777777" w:rsidR="00DD2589" w:rsidRDefault="00DD2589" w:rsidP="00DD2589">
    <w:pPr>
      <w:pStyle w:val="Header"/>
    </w:pPr>
    <w:r w:rsidRPr="006C581C">
      <w:rPr>
        <w:rFonts w:ascii="Arial" w:hAnsi="Arial" w:cs="Arial"/>
        <w:b/>
        <w:bCs/>
      </w:rPr>
      <w:t xml:space="preserve">LO </w:t>
    </w:r>
    <w:r>
      <w:rPr>
        <w:rFonts w:ascii="Arial" w:hAnsi="Arial" w:cs="Arial"/>
        <w:b/>
        <w:bCs/>
      </w:rPr>
      <w:t>8 A CiLCA qualified officer understands the importance of employment law and equality legislation for a local council.</w:t>
    </w:r>
  </w:p>
  <w:p w14:paraId="582FCC2C" w14:textId="4599E07A" w:rsidR="00225AAB" w:rsidRDefault="00225AAB" w:rsidP="0022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5E508B28"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856671">
    <w:abstractNumId w:val="3"/>
  </w:num>
  <w:num w:numId="2" w16cid:durableId="344675486">
    <w:abstractNumId w:val="4"/>
  </w:num>
  <w:num w:numId="3" w16cid:durableId="585841087">
    <w:abstractNumId w:val="25"/>
  </w:num>
  <w:num w:numId="4" w16cid:durableId="1747607239">
    <w:abstractNumId w:val="27"/>
  </w:num>
  <w:num w:numId="5" w16cid:durableId="836766579">
    <w:abstractNumId w:val="0"/>
  </w:num>
  <w:num w:numId="6" w16cid:durableId="1979064289">
    <w:abstractNumId w:val="26"/>
  </w:num>
  <w:num w:numId="7" w16cid:durableId="1711608385">
    <w:abstractNumId w:val="30"/>
  </w:num>
  <w:num w:numId="8" w16cid:durableId="137038548">
    <w:abstractNumId w:val="23"/>
  </w:num>
  <w:num w:numId="9" w16cid:durableId="1857110402">
    <w:abstractNumId w:val="14"/>
  </w:num>
  <w:num w:numId="10" w16cid:durableId="64498894">
    <w:abstractNumId w:val="18"/>
  </w:num>
  <w:num w:numId="11" w16cid:durableId="112334410">
    <w:abstractNumId w:val="13"/>
  </w:num>
  <w:num w:numId="12" w16cid:durableId="943347839">
    <w:abstractNumId w:val="5"/>
  </w:num>
  <w:num w:numId="13" w16cid:durableId="1177621937">
    <w:abstractNumId w:val="28"/>
  </w:num>
  <w:num w:numId="14" w16cid:durableId="554893434">
    <w:abstractNumId w:val="10"/>
  </w:num>
  <w:num w:numId="15" w16cid:durableId="561601532">
    <w:abstractNumId w:val="9"/>
  </w:num>
  <w:num w:numId="16" w16cid:durableId="1012999883">
    <w:abstractNumId w:val="17"/>
  </w:num>
  <w:num w:numId="17" w16cid:durableId="416874632">
    <w:abstractNumId w:val="24"/>
  </w:num>
  <w:num w:numId="18" w16cid:durableId="262960426">
    <w:abstractNumId w:val="15"/>
  </w:num>
  <w:num w:numId="19" w16cid:durableId="683896566">
    <w:abstractNumId w:val="11"/>
  </w:num>
  <w:num w:numId="20" w16cid:durableId="149757076">
    <w:abstractNumId w:val="20"/>
  </w:num>
  <w:num w:numId="21" w16cid:durableId="2034725840">
    <w:abstractNumId w:val="8"/>
  </w:num>
  <w:num w:numId="22" w16cid:durableId="144904816">
    <w:abstractNumId w:val="1"/>
  </w:num>
  <w:num w:numId="23" w16cid:durableId="249852054">
    <w:abstractNumId w:val="29"/>
  </w:num>
  <w:num w:numId="24" w16cid:durableId="1274559322">
    <w:abstractNumId w:val="19"/>
  </w:num>
  <w:num w:numId="25" w16cid:durableId="1970234635">
    <w:abstractNumId w:val="31"/>
  </w:num>
  <w:num w:numId="26" w16cid:durableId="46270287">
    <w:abstractNumId w:val="12"/>
  </w:num>
  <w:num w:numId="27" w16cid:durableId="2108771381">
    <w:abstractNumId w:val="16"/>
  </w:num>
  <w:num w:numId="28" w16cid:durableId="612782046">
    <w:abstractNumId w:val="21"/>
  </w:num>
  <w:num w:numId="29" w16cid:durableId="179242804">
    <w:abstractNumId w:val="7"/>
  </w:num>
  <w:num w:numId="30" w16cid:durableId="1920747505">
    <w:abstractNumId w:val="2"/>
  </w:num>
  <w:num w:numId="31" w16cid:durableId="1152600166">
    <w:abstractNumId w:val="6"/>
  </w:num>
  <w:num w:numId="32" w16cid:durableId="6041151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63B9"/>
    <w:rsid w:val="0001685F"/>
    <w:rsid w:val="000318D5"/>
    <w:rsid w:val="00034EC7"/>
    <w:rsid w:val="00066E1F"/>
    <w:rsid w:val="00067E61"/>
    <w:rsid w:val="00074749"/>
    <w:rsid w:val="00077DE1"/>
    <w:rsid w:val="00085C80"/>
    <w:rsid w:val="000A670F"/>
    <w:rsid w:val="00113BD7"/>
    <w:rsid w:val="001175FB"/>
    <w:rsid w:val="00131194"/>
    <w:rsid w:val="00145474"/>
    <w:rsid w:val="00151F08"/>
    <w:rsid w:val="0016302E"/>
    <w:rsid w:val="00163D11"/>
    <w:rsid w:val="00174C20"/>
    <w:rsid w:val="001A43B9"/>
    <w:rsid w:val="001A64E4"/>
    <w:rsid w:val="00200675"/>
    <w:rsid w:val="00202E2D"/>
    <w:rsid w:val="00225AAB"/>
    <w:rsid w:val="0025243E"/>
    <w:rsid w:val="0026488F"/>
    <w:rsid w:val="00265BFD"/>
    <w:rsid w:val="00274FA6"/>
    <w:rsid w:val="002852E7"/>
    <w:rsid w:val="00297EFD"/>
    <w:rsid w:val="002A6C21"/>
    <w:rsid w:val="002A77A7"/>
    <w:rsid w:val="002C6D20"/>
    <w:rsid w:val="002E0218"/>
    <w:rsid w:val="002E0B0D"/>
    <w:rsid w:val="002E1042"/>
    <w:rsid w:val="002F1013"/>
    <w:rsid w:val="00323DFD"/>
    <w:rsid w:val="003330DA"/>
    <w:rsid w:val="003400E7"/>
    <w:rsid w:val="003619D2"/>
    <w:rsid w:val="00367BC3"/>
    <w:rsid w:val="00370F33"/>
    <w:rsid w:val="00386331"/>
    <w:rsid w:val="00390A24"/>
    <w:rsid w:val="003C743C"/>
    <w:rsid w:val="00406EC8"/>
    <w:rsid w:val="00433BCE"/>
    <w:rsid w:val="00470D8F"/>
    <w:rsid w:val="004920B7"/>
    <w:rsid w:val="00493FD5"/>
    <w:rsid w:val="004C62AD"/>
    <w:rsid w:val="004E2382"/>
    <w:rsid w:val="004F1CEC"/>
    <w:rsid w:val="00512179"/>
    <w:rsid w:val="005307F8"/>
    <w:rsid w:val="00533041"/>
    <w:rsid w:val="00541C5A"/>
    <w:rsid w:val="00547560"/>
    <w:rsid w:val="005546A7"/>
    <w:rsid w:val="00562A55"/>
    <w:rsid w:val="00581448"/>
    <w:rsid w:val="005947FA"/>
    <w:rsid w:val="005E45FA"/>
    <w:rsid w:val="005F510D"/>
    <w:rsid w:val="005F5FB8"/>
    <w:rsid w:val="00646BF7"/>
    <w:rsid w:val="006A34AA"/>
    <w:rsid w:val="006B758B"/>
    <w:rsid w:val="006F0348"/>
    <w:rsid w:val="00737460"/>
    <w:rsid w:val="0074642B"/>
    <w:rsid w:val="007713E0"/>
    <w:rsid w:val="00793FE0"/>
    <w:rsid w:val="007942F7"/>
    <w:rsid w:val="007A6D3A"/>
    <w:rsid w:val="007C2A6D"/>
    <w:rsid w:val="007E6C3C"/>
    <w:rsid w:val="00815732"/>
    <w:rsid w:val="00817054"/>
    <w:rsid w:val="0084461D"/>
    <w:rsid w:val="008521A2"/>
    <w:rsid w:val="0086672F"/>
    <w:rsid w:val="008928F0"/>
    <w:rsid w:val="00896340"/>
    <w:rsid w:val="008F0241"/>
    <w:rsid w:val="00901A21"/>
    <w:rsid w:val="00930B70"/>
    <w:rsid w:val="0095278B"/>
    <w:rsid w:val="0096108B"/>
    <w:rsid w:val="00974B64"/>
    <w:rsid w:val="00981330"/>
    <w:rsid w:val="00982D83"/>
    <w:rsid w:val="00993C38"/>
    <w:rsid w:val="009A4718"/>
    <w:rsid w:val="009E3344"/>
    <w:rsid w:val="009E68C5"/>
    <w:rsid w:val="009F4F96"/>
    <w:rsid w:val="00A00292"/>
    <w:rsid w:val="00A025C0"/>
    <w:rsid w:val="00A24173"/>
    <w:rsid w:val="00A3134C"/>
    <w:rsid w:val="00A42842"/>
    <w:rsid w:val="00A6138F"/>
    <w:rsid w:val="00A62BAC"/>
    <w:rsid w:val="00A93678"/>
    <w:rsid w:val="00AC43E4"/>
    <w:rsid w:val="00B13750"/>
    <w:rsid w:val="00B25AAB"/>
    <w:rsid w:val="00B511B9"/>
    <w:rsid w:val="00B92055"/>
    <w:rsid w:val="00B9603B"/>
    <w:rsid w:val="00C11128"/>
    <w:rsid w:val="00C1218D"/>
    <w:rsid w:val="00C227D1"/>
    <w:rsid w:val="00C267C6"/>
    <w:rsid w:val="00C31CCC"/>
    <w:rsid w:val="00C5275A"/>
    <w:rsid w:val="00C55246"/>
    <w:rsid w:val="00C75761"/>
    <w:rsid w:val="00C910A6"/>
    <w:rsid w:val="00CD367E"/>
    <w:rsid w:val="00CF1B04"/>
    <w:rsid w:val="00CF71B2"/>
    <w:rsid w:val="00D056A8"/>
    <w:rsid w:val="00D21A18"/>
    <w:rsid w:val="00D37156"/>
    <w:rsid w:val="00D87CAB"/>
    <w:rsid w:val="00D92E71"/>
    <w:rsid w:val="00DD2202"/>
    <w:rsid w:val="00DD2589"/>
    <w:rsid w:val="00DD4EDF"/>
    <w:rsid w:val="00DD71A4"/>
    <w:rsid w:val="00DE6026"/>
    <w:rsid w:val="00DF3A61"/>
    <w:rsid w:val="00E14E7C"/>
    <w:rsid w:val="00E15CD8"/>
    <w:rsid w:val="00E26FAB"/>
    <w:rsid w:val="00E65675"/>
    <w:rsid w:val="00EC6945"/>
    <w:rsid w:val="00ED1AD8"/>
    <w:rsid w:val="00ED7CBE"/>
    <w:rsid w:val="00EE217A"/>
    <w:rsid w:val="00EE777D"/>
    <w:rsid w:val="00F126D4"/>
    <w:rsid w:val="00F13649"/>
    <w:rsid w:val="00F157AF"/>
    <w:rsid w:val="00F3507F"/>
    <w:rsid w:val="00F52F42"/>
    <w:rsid w:val="00F54A18"/>
    <w:rsid w:val="00FA56C9"/>
    <w:rsid w:val="00FB6487"/>
    <w:rsid w:val="00FB6B87"/>
    <w:rsid w:val="00FC190D"/>
    <w:rsid w:val="00FC7146"/>
    <w:rsid w:val="00FD2FC9"/>
    <w:rsid w:val="00FD6235"/>
    <w:rsid w:val="00FD7DD0"/>
    <w:rsid w:val="00FE4FDA"/>
    <w:rsid w:val="00FF4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EndnoteText">
    <w:name w:val="endnote text"/>
    <w:basedOn w:val="Normal"/>
    <w:link w:val="EndnoteTextChar"/>
    <w:uiPriority w:val="99"/>
    <w:semiHidden/>
    <w:unhideWhenUsed/>
    <w:rsid w:val="008521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1A2"/>
    <w:rPr>
      <w:sz w:val="20"/>
      <w:szCs w:val="20"/>
    </w:rPr>
  </w:style>
  <w:style w:type="character" w:styleId="EndnoteReference">
    <w:name w:val="endnote reference"/>
    <w:basedOn w:val="DefaultParagraphFont"/>
    <w:uiPriority w:val="99"/>
    <w:semiHidden/>
    <w:unhideWhenUsed/>
    <w:rsid w:val="008521A2"/>
    <w:rPr>
      <w:vertAlign w:val="superscript"/>
    </w:rPr>
  </w:style>
  <w:style w:type="paragraph" w:styleId="NormalWeb">
    <w:name w:val="Normal (Web)"/>
    <w:basedOn w:val="Normal"/>
    <w:uiPriority w:val="99"/>
    <w:unhideWhenUsed/>
    <w:rsid w:val="00C910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10A6"/>
    <w:rPr>
      <w:b/>
      <w:bCs/>
    </w:rPr>
  </w:style>
  <w:style w:type="character" w:styleId="Emphasis">
    <w:name w:val="Emphasis"/>
    <w:basedOn w:val="DefaultParagraphFont"/>
    <w:uiPriority w:val="20"/>
    <w:qFormat/>
    <w:rsid w:val="00C91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847">
      <w:bodyDiv w:val="1"/>
      <w:marLeft w:val="0"/>
      <w:marRight w:val="0"/>
      <w:marTop w:val="0"/>
      <w:marBottom w:val="0"/>
      <w:divBdr>
        <w:top w:val="none" w:sz="0" w:space="0" w:color="auto"/>
        <w:left w:val="none" w:sz="0" w:space="0" w:color="auto"/>
        <w:bottom w:val="none" w:sz="0" w:space="0" w:color="auto"/>
        <w:right w:val="none" w:sz="0" w:space="0" w:color="auto"/>
      </w:divBdr>
    </w:div>
    <w:div w:id="1060785909">
      <w:bodyDiv w:val="1"/>
      <w:marLeft w:val="0"/>
      <w:marRight w:val="0"/>
      <w:marTop w:val="0"/>
      <w:marBottom w:val="0"/>
      <w:divBdr>
        <w:top w:val="none" w:sz="0" w:space="0" w:color="auto"/>
        <w:left w:val="none" w:sz="0" w:space="0" w:color="auto"/>
        <w:bottom w:val="none" w:sz="0" w:space="0" w:color="auto"/>
        <w:right w:val="none" w:sz="0" w:space="0" w:color="auto"/>
      </w:divBdr>
    </w:div>
    <w:div w:id="1706369048">
      <w:bodyDiv w:val="1"/>
      <w:marLeft w:val="0"/>
      <w:marRight w:val="0"/>
      <w:marTop w:val="0"/>
      <w:marBottom w:val="0"/>
      <w:divBdr>
        <w:top w:val="none" w:sz="0" w:space="0" w:color="auto"/>
        <w:left w:val="none" w:sz="0" w:space="0" w:color="auto"/>
        <w:bottom w:val="none" w:sz="0" w:space="0" w:color="auto"/>
        <w:right w:val="none" w:sz="0" w:space="0" w:color="auto"/>
      </w:divBdr>
    </w:div>
    <w:div w:id="18987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2BD7-E697-4639-9361-3420C888F857}">
  <ds:schemaRefs>
    <ds:schemaRef ds:uri="http://schemas.microsoft.com/sharepoint/v3/contenttype/forms"/>
  </ds:schemaRefs>
</ds:datastoreItem>
</file>

<file path=customXml/itemProps2.xml><?xml version="1.0" encoding="utf-8"?>
<ds:datastoreItem xmlns:ds="http://schemas.openxmlformats.org/officeDocument/2006/customXml" ds:itemID="{23FA252A-CBD5-4C0A-8EBA-61FF5F682030}">
  <ds:schemaRefs>
    <ds:schemaRef ds:uri="http://schemas.microsoft.com/office/2006/metadata/properties"/>
    <ds:schemaRef ds:uri="http://schemas.microsoft.com/office/infopath/2007/PartnerControls"/>
    <ds:schemaRef ds:uri="3c0cc1e1-37c9-4cd4-a82b-560d166dff0c"/>
    <ds:schemaRef ds:uri="5a082aa9-fc87-45cb-b5ec-db459e2da68f"/>
  </ds:schemaRefs>
</ds:datastoreItem>
</file>

<file path=customXml/itemProps3.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customXml/itemProps4.xml><?xml version="1.0" encoding="utf-8"?>
<ds:datastoreItem xmlns:ds="http://schemas.openxmlformats.org/officeDocument/2006/customXml" ds:itemID="{A166BAFD-1E23-4F75-9927-E19FAA66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c1e1-37c9-4cd4-a82b-560d166dff0c"/>
    <ds:schemaRef ds:uri="5a082aa9-fc87-45cb-b5ec-db459e2da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Clerk</cp:lastModifiedBy>
  <cp:revision>5</cp:revision>
  <cp:lastPrinted>2019-07-10T10:03:00Z</cp:lastPrinted>
  <dcterms:created xsi:type="dcterms:W3CDTF">2025-07-24T09:40:00Z</dcterms:created>
  <dcterms:modified xsi:type="dcterms:W3CDTF">2025-07-24T09:44:00Z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0x0101006A34FD501C958A43B53ADBC993F4413A</vt:lpwstr>
  </property>
  <property fmtid="{D5CDD505-2E9C-101B-9397-08002B2CF9AE}" pid="3" name="MediaServiceImageTags">
    <vt:lpwstr/>
  </property>
</Properties>
</file>